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34FC" w14:textId="252596F5" w:rsidR="00D83726" w:rsidRPr="004310DA" w:rsidRDefault="00F42BBD" w:rsidP="00D83726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  <w:r w:rsidRPr="004310DA">
        <w:rPr>
          <w:rFonts w:asciiTheme="minorBidi" w:eastAsia="Times New Roman" w:hAnsiTheme="minorBidi"/>
          <w:noProof/>
          <w:color w:val="333333"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E1CFB10" wp14:editId="581C1C2A">
            <wp:simplePos x="0" y="0"/>
            <wp:positionH relativeFrom="margin">
              <wp:posOffset>-53340</wp:posOffset>
            </wp:positionH>
            <wp:positionV relativeFrom="margin">
              <wp:posOffset>-195580</wp:posOffset>
            </wp:positionV>
            <wp:extent cx="942975" cy="804545"/>
            <wp:effectExtent l="0" t="0" r="9525" b="0"/>
            <wp:wrapSquare wrapText="bothSides"/>
            <wp:docPr id="618657940" name="Picture 1" descr="A picture containing text, device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57940" name="Picture 1" descr="A picture containing text, device, me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54E91" w14:textId="663C10A8" w:rsidR="00F42BBD" w:rsidRPr="004310DA" w:rsidRDefault="00F42BBD" w:rsidP="00D83726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</w:p>
    <w:p w14:paraId="4169B057" w14:textId="41A2EA44" w:rsidR="00F42BBD" w:rsidRPr="004310DA" w:rsidRDefault="00F42BBD" w:rsidP="00D83726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</w:p>
    <w:p w14:paraId="417A5B42" w14:textId="77777777" w:rsidR="00F42BBD" w:rsidRPr="004310DA" w:rsidRDefault="00F42BBD" w:rsidP="00D83726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</w:p>
    <w:p w14:paraId="4005BD54" w14:textId="77777777" w:rsidR="005645AE" w:rsidRPr="004310DA" w:rsidRDefault="005645AE" w:rsidP="00D83726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</w:p>
    <w:p w14:paraId="058757DB" w14:textId="77777777" w:rsidR="00F42BBD" w:rsidRPr="004310DA" w:rsidRDefault="00F42BBD" w:rsidP="00D83726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</w:p>
    <w:p w14:paraId="30BB9929" w14:textId="373D1097" w:rsidR="00D83726" w:rsidRPr="004310DA" w:rsidRDefault="00D83726" w:rsidP="00D83726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May 9</w:t>
      </w: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:vertAlign w:val="superscript"/>
          <w14:ligatures w14:val="none"/>
        </w:rPr>
        <w:t>th</w:t>
      </w: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, 2023</w:t>
      </w:r>
    </w:p>
    <w:p w14:paraId="1C3C3F1E" w14:textId="77777777" w:rsidR="005645AE" w:rsidRPr="004310DA" w:rsidRDefault="005645AE" w:rsidP="00D83726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</w:p>
    <w:p w14:paraId="27C730D2" w14:textId="6B9DC7C3" w:rsidR="005645AE" w:rsidRPr="004310DA" w:rsidRDefault="00D83726" w:rsidP="002F4EEF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Honorable Judge</w:t>
      </w:r>
      <w:r w:rsidR="00F42BBD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,</w:t>
      </w: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 </w:t>
      </w:r>
    </w:p>
    <w:p w14:paraId="5D9E8A9B" w14:textId="77777777" w:rsidR="00D83726" w:rsidRPr="004310DA" w:rsidRDefault="00D83726" w:rsidP="00D83726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</w:p>
    <w:p w14:paraId="56DB11F5" w14:textId="07E78E72" w:rsidR="00D83726" w:rsidRPr="004310DA" w:rsidRDefault="00D83726" w:rsidP="00D83726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If I may, I would like to introduce myself and the reason for this correspondence. </w:t>
      </w:r>
    </w:p>
    <w:p w14:paraId="7B8E9FE9" w14:textId="53A39BA6" w:rsidR="00D83726" w:rsidRPr="004310DA" w:rsidRDefault="00D83726" w:rsidP="00D83726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I have attached my personal bio, but in brief, the vast majority (20+ years) of my professional career has been spent working in the arena of “neighborhood blight”, vacant/abandoned properties, and “zombie foreclosures”. </w:t>
      </w:r>
    </w:p>
    <w:p w14:paraId="2DF88314" w14:textId="77777777" w:rsidR="00D83726" w:rsidRPr="004310DA" w:rsidRDefault="00D83726" w:rsidP="00D83726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</w:p>
    <w:p w14:paraId="11825BA1" w14:textId="40DFB76A" w:rsidR="00336831" w:rsidRPr="004310DA" w:rsidRDefault="00D83726" w:rsidP="004310DA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Several years </w:t>
      </w:r>
      <w:r w:rsidR="007254D5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ago,</w:t>
      </w: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 my company</w:t>
      </w:r>
      <w:r w:rsidR="00F42BBD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,</w:t>
      </w: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 MuniReg</w:t>
      </w:r>
      <w:r w:rsidR="00F42BBD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,</w:t>
      </w: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 partnered with the City of </w:t>
      </w:r>
      <w:r w:rsidR="00167925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_______</w:t>
      </w: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 </w:t>
      </w:r>
      <w:r w:rsidR="00336831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on the administration of their existing vacant property registration program. </w:t>
      </w:r>
      <w:r w:rsidR="004310DA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br/>
      </w:r>
    </w:p>
    <w:p w14:paraId="134F81FD" w14:textId="7198316F" w:rsidR="00D83726" w:rsidRPr="004310DA" w:rsidRDefault="00336831" w:rsidP="00D83726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At the time and thereafter, I have encouraged City staff to leverage my experience in this niche arena.</w:t>
      </w:r>
    </w:p>
    <w:p w14:paraId="11A2EA0A" w14:textId="77777777" w:rsidR="00336831" w:rsidRPr="004310DA" w:rsidRDefault="00336831" w:rsidP="00D83726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</w:p>
    <w:p w14:paraId="4276EDD3" w14:textId="32C46BF5" w:rsidR="00336831" w:rsidRPr="004310DA" w:rsidRDefault="00336831" w:rsidP="00D83726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In our most recent conversations, Mayor</w:t>
      </w:r>
      <w:r w:rsidR="00167925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 _______</w:t>
      </w: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 and his team discussed their ongoing challenges with blight and vacant properties </w:t>
      </w:r>
      <w:r w:rsidR="006A756C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along with</w:t>
      </w: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 the strong desire to be more proactive in improving their community. </w:t>
      </w:r>
    </w:p>
    <w:p w14:paraId="63E17F15" w14:textId="77777777" w:rsidR="00336831" w:rsidRPr="004310DA" w:rsidRDefault="00336831" w:rsidP="00D83726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</w:p>
    <w:p w14:paraId="126A8036" w14:textId="1C3458DD" w:rsidR="001446EB" w:rsidRPr="004310DA" w:rsidRDefault="00336831" w:rsidP="001446EB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Among the various approaches we discussed</w:t>
      </w:r>
      <w:r w:rsidR="001446EB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,</w:t>
      </w: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 was the utilization of receiverships </w:t>
      </w:r>
      <w:r w:rsidR="006A756C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and similar actions </w:t>
      </w: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(we do not perform this service). The understanding I took away from the conversation</w:t>
      </w:r>
      <w:r w:rsidR="001446EB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 was though </w:t>
      </w:r>
      <w:r w:rsidR="006A756C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historically</w:t>
      </w:r>
      <w:r w:rsidR="00F42BBD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,</w:t>
      </w:r>
      <w:r w:rsidR="006A756C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 </w:t>
      </w:r>
      <w:r w:rsidR="001446EB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the court was receptive to the City’s intent and objectives, there were some reservations surrounding the definition of “vacant” and/or “abandoned”. Which of course is a very valid concern, from many different angles</w:t>
      </w:r>
      <w:r w:rsidR="00420C92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 i.e. in the banking world</w:t>
      </w:r>
      <w:r w:rsidR="00420C92" w:rsidRPr="004310DA">
        <w:rPr>
          <w:rStyle w:val="FootnoteReference"/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footnoteReference w:id="1"/>
      </w:r>
      <w:r w:rsidR="001446EB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.</w:t>
      </w:r>
    </w:p>
    <w:p w14:paraId="21D55BBE" w14:textId="77777777" w:rsidR="001446EB" w:rsidRPr="004310DA" w:rsidRDefault="001446EB" w:rsidP="001446EB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</w:p>
    <w:p w14:paraId="6BDD0F26" w14:textId="27D7A60B" w:rsidR="001446EB" w:rsidRPr="004310DA" w:rsidRDefault="001446EB" w:rsidP="001446EB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Though we have not communicated prior, nor have</w:t>
      </w:r>
      <w:r w:rsidR="007254D5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 I</w:t>
      </w: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 witnesse</w:t>
      </w:r>
      <w:r w:rsidR="006A756C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d</w:t>
      </w: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 any of the court’s proceeding</w:t>
      </w:r>
      <w:r w:rsidR="007254D5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s</w:t>
      </w: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, I offered the </w:t>
      </w:r>
      <w:r w:rsidR="004310DA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mayor</w:t>
      </w: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 and his team that I would reach out and provide Your Honor with what I believe is a unique perspective, stemming </w:t>
      </w:r>
      <w:r w:rsidR="006A756C"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 xml:space="preserve">from </w:t>
      </w:r>
      <w:r w:rsidRPr="004310DA"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  <w:t>20+ years of national experience.</w:t>
      </w:r>
    </w:p>
    <w:p w14:paraId="74AB92AC" w14:textId="77777777" w:rsidR="00D83726" w:rsidRPr="004310DA" w:rsidRDefault="00D83726" w:rsidP="00D83726">
      <w:pPr>
        <w:spacing w:after="0" w:line="240" w:lineRule="auto"/>
        <w:textAlignment w:val="baseline"/>
        <w:rPr>
          <w:rFonts w:asciiTheme="minorBidi" w:eastAsia="Times New Roman" w:hAnsiTheme="minorBidi"/>
          <w:color w:val="333333"/>
          <w:kern w:val="0"/>
          <w:sz w:val="20"/>
          <w:szCs w:val="20"/>
          <w14:ligatures w14:val="none"/>
        </w:rPr>
      </w:pPr>
    </w:p>
    <w:p w14:paraId="7126A11F" w14:textId="3B38633E" w:rsidR="00510857" w:rsidRPr="004310DA" w:rsidRDefault="006A756C" w:rsidP="007254D5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  <w:r w:rsidRPr="004310DA">
        <w:rPr>
          <w:rFonts w:asciiTheme="minorBidi" w:hAnsiTheme="minorBidi"/>
          <w:sz w:val="20"/>
          <w:szCs w:val="20"/>
        </w:rPr>
        <w:t xml:space="preserve">In November 2022, I came across an article, for which I wrote a blog </w:t>
      </w:r>
      <w:r w:rsidR="00F42BBD" w:rsidRPr="004310DA">
        <w:rPr>
          <w:rFonts w:asciiTheme="minorBidi" w:hAnsiTheme="minorBidi"/>
          <w:sz w:val="20"/>
          <w:szCs w:val="20"/>
        </w:rPr>
        <w:t>post</w:t>
      </w:r>
      <w:r w:rsidRPr="004310DA">
        <w:rPr>
          <w:rFonts w:asciiTheme="minorBidi" w:hAnsiTheme="minorBidi"/>
          <w:sz w:val="20"/>
          <w:szCs w:val="20"/>
        </w:rPr>
        <w:t>.</w:t>
      </w:r>
      <w:r w:rsidR="00F42BBD" w:rsidRPr="004310DA">
        <w:rPr>
          <w:rFonts w:asciiTheme="minorBidi" w:hAnsiTheme="minorBidi"/>
          <w:sz w:val="20"/>
          <w:szCs w:val="20"/>
        </w:rPr>
        <w:t xml:space="preserve"> </w:t>
      </w:r>
      <w:r w:rsidRPr="004310DA">
        <w:rPr>
          <w:rFonts w:asciiTheme="minorBidi" w:hAnsiTheme="minorBidi"/>
          <w:sz w:val="20"/>
          <w:szCs w:val="20"/>
        </w:rPr>
        <w:t xml:space="preserve">The title of the article is </w:t>
      </w:r>
      <w:r w:rsidRPr="004310DA">
        <w:rPr>
          <w:rFonts w:asciiTheme="minorBidi" w:hAnsiTheme="minorBidi"/>
          <w:i/>
          <w:iCs/>
          <w:sz w:val="20"/>
          <w:szCs w:val="20"/>
        </w:rPr>
        <w:t>Allowing blight in name of 'freedom' damaging communities</w:t>
      </w:r>
      <w:r w:rsidRPr="004310DA">
        <w:rPr>
          <w:rStyle w:val="FootnoteReference"/>
          <w:rFonts w:asciiTheme="minorBidi" w:hAnsiTheme="minorBidi"/>
          <w:i/>
          <w:iCs/>
          <w:sz w:val="20"/>
          <w:szCs w:val="20"/>
        </w:rPr>
        <w:footnoteReference w:id="2"/>
      </w:r>
      <w:r w:rsidRPr="004310DA">
        <w:rPr>
          <w:rFonts w:asciiTheme="minorBidi" w:hAnsiTheme="minorBidi"/>
          <w:sz w:val="20"/>
          <w:szCs w:val="20"/>
        </w:rPr>
        <w:t xml:space="preserve"> and the title of my blog post</w:t>
      </w:r>
      <w:r w:rsidR="00F42BBD" w:rsidRPr="004310DA">
        <w:rPr>
          <w:rFonts w:asciiTheme="minorBidi" w:hAnsiTheme="minorBidi"/>
          <w:sz w:val="20"/>
          <w:szCs w:val="20"/>
        </w:rPr>
        <w:t xml:space="preserve"> </w:t>
      </w:r>
      <w:r w:rsidRPr="004310DA">
        <w:rPr>
          <w:rFonts w:asciiTheme="minorBidi" w:hAnsiTheme="minorBidi"/>
          <w:sz w:val="20"/>
          <w:szCs w:val="20"/>
        </w:rPr>
        <w:t xml:space="preserve">is </w:t>
      </w:r>
      <w:r w:rsidR="00510857" w:rsidRPr="004310DA">
        <w:rPr>
          <w:rFonts w:asciiTheme="minorBidi" w:hAnsiTheme="minorBidi"/>
          <w:sz w:val="20"/>
          <w:szCs w:val="20"/>
        </w:rPr>
        <w:t>N</w:t>
      </w:r>
      <w:r w:rsidR="00510857" w:rsidRPr="004310DA">
        <w:rPr>
          <w:rFonts w:asciiTheme="minorBidi" w:hAnsiTheme="minorBidi"/>
          <w:i/>
          <w:iCs/>
          <w:sz w:val="20"/>
          <w:szCs w:val="20"/>
        </w:rPr>
        <w:t>eighbors of Blighted Properties have Same Rights as Owners of the Blighted Properties</w:t>
      </w:r>
      <w:r w:rsidR="00510857" w:rsidRPr="004310DA">
        <w:rPr>
          <w:rStyle w:val="FootnoteReference"/>
          <w:rFonts w:asciiTheme="minorBidi" w:hAnsiTheme="minorBidi"/>
          <w:i/>
          <w:iCs/>
          <w:sz w:val="20"/>
          <w:szCs w:val="20"/>
        </w:rPr>
        <w:footnoteReference w:id="3"/>
      </w:r>
      <w:r w:rsidR="00510857" w:rsidRPr="004310DA">
        <w:rPr>
          <w:rFonts w:asciiTheme="minorBidi" w:hAnsiTheme="minorBidi"/>
          <w:i/>
          <w:iCs/>
          <w:sz w:val="20"/>
          <w:szCs w:val="20"/>
        </w:rPr>
        <w:t>.</w:t>
      </w:r>
    </w:p>
    <w:p w14:paraId="26E74FA9" w14:textId="77777777" w:rsidR="004310DA" w:rsidRPr="004310DA" w:rsidRDefault="004310DA" w:rsidP="00D83726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p w14:paraId="43F3AD0B" w14:textId="5DF6D1BC" w:rsidR="00D83726" w:rsidRPr="004310DA" w:rsidRDefault="00510857" w:rsidP="00D83726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  <w:r w:rsidRPr="004310DA">
        <w:rPr>
          <w:rFonts w:asciiTheme="minorBidi" w:hAnsiTheme="minorBidi"/>
          <w:sz w:val="20"/>
          <w:szCs w:val="20"/>
        </w:rPr>
        <w:t xml:space="preserve">I am </w:t>
      </w:r>
      <w:proofErr w:type="gramStart"/>
      <w:r w:rsidRPr="004310DA">
        <w:rPr>
          <w:rFonts w:asciiTheme="minorBidi" w:hAnsiTheme="minorBidi"/>
          <w:sz w:val="20"/>
          <w:szCs w:val="20"/>
        </w:rPr>
        <w:t>well aware</w:t>
      </w:r>
      <w:proofErr w:type="gramEnd"/>
      <w:r w:rsidRPr="004310DA">
        <w:rPr>
          <w:rFonts w:asciiTheme="minorBidi" w:hAnsiTheme="minorBidi"/>
          <w:sz w:val="20"/>
          <w:szCs w:val="20"/>
        </w:rPr>
        <w:t xml:space="preserve"> of the concerns about misidentifying properties as vacant. In fact, I encourage my clients to err on the side of caution</w:t>
      </w:r>
      <w:r w:rsidR="007254D5" w:rsidRPr="004310DA">
        <w:rPr>
          <w:rFonts w:asciiTheme="minorBidi" w:hAnsiTheme="minorBidi"/>
          <w:sz w:val="20"/>
          <w:szCs w:val="20"/>
        </w:rPr>
        <w:t xml:space="preserve"> by having </w:t>
      </w:r>
      <w:r w:rsidRPr="004310DA">
        <w:rPr>
          <w:rFonts w:asciiTheme="minorBidi" w:hAnsiTheme="minorBidi"/>
          <w:sz w:val="20"/>
          <w:szCs w:val="20"/>
        </w:rPr>
        <w:t xml:space="preserve">strong exemptions in their vacant property registry requirements (which is only to </w:t>
      </w:r>
      <w:proofErr w:type="spellStart"/>
      <w:r w:rsidRPr="004310DA">
        <w:rPr>
          <w:rFonts w:asciiTheme="minorBidi" w:hAnsiTheme="minorBidi"/>
          <w:sz w:val="20"/>
          <w:szCs w:val="20"/>
        </w:rPr>
        <w:t>MuniReg’s</w:t>
      </w:r>
      <w:proofErr w:type="spellEnd"/>
      <w:r w:rsidRPr="004310DA">
        <w:rPr>
          <w:rFonts w:asciiTheme="minorBidi" w:hAnsiTheme="minorBidi"/>
          <w:sz w:val="20"/>
          <w:szCs w:val="20"/>
        </w:rPr>
        <w:t xml:space="preserve"> detriment based </w:t>
      </w:r>
      <w:r w:rsidR="00F42BBD" w:rsidRPr="004310DA">
        <w:rPr>
          <w:rFonts w:asciiTheme="minorBidi" w:hAnsiTheme="minorBidi"/>
          <w:sz w:val="20"/>
          <w:szCs w:val="20"/>
        </w:rPr>
        <w:t>on</w:t>
      </w:r>
      <w:r w:rsidRPr="004310DA">
        <w:rPr>
          <w:rFonts w:asciiTheme="minorBidi" w:hAnsiTheme="minorBidi"/>
          <w:sz w:val="20"/>
          <w:szCs w:val="20"/>
        </w:rPr>
        <w:t xml:space="preserve"> our contractual agreements). Specific </w:t>
      </w:r>
      <w:r w:rsidR="00167925">
        <w:rPr>
          <w:rFonts w:asciiTheme="minorBidi" w:hAnsiTheme="minorBidi"/>
          <w:sz w:val="20"/>
          <w:szCs w:val="20"/>
        </w:rPr>
        <w:t>to ___________</w:t>
      </w:r>
      <w:r w:rsidRPr="004310DA">
        <w:rPr>
          <w:rFonts w:asciiTheme="minorBidi" w:hAnsiTheme="minorBidi"/>
          <w:sz w:val="20"/>
          <w:szCs w:val="20"/>
        </w:rPr>
        <w:t xml:space="preserve"> Mayor </w:t>
      </w:r>
      <w:r w:rsidR="00167925">
        <w:rPr>
          <w:rFonts w:asciiTheme="minorBidi" w:hAnsiTheme="minorBidi"/>
          <w:sz w:val="20"/>
          <w:szCs w:val="20"/>
        </w:rPr>
        <w:t>______</w:t>
      </w:r>
      <w:r w:rsidRPr="004310DA">
        <w:rPr>
          <w:rFonts w:asciiTheme="minorBidi" w:hAnsiTheme="minorBidi"/>
          <w:sz w:val="20"/>
          <w:szCs w:val="20"/>
        </w:rPr>
        <w:t xml:space="preserve"> and his </w:t>
      </w:r>
      <w:r w:rsidR="00F42BBD" w:rsidRPr="004310DA">
        <w:rPr>
          <w:rFonts w:asciiTheme="minorBidi" w:hAnsiTheme="minorBidi"/>
          <w:sz w:val="20"/>
          <w:szCs w:val="20"/>
        </w:rPr>
        <w:t>staff</w:t>
      </w:r>
      <w:r w:rsidRPr="004310DA">
        <w:rPr>
          <w:rFonts w:asciiTheme="minorBidi" w:hAnsiTheme="minorBidi"/>
          <w:sz w:val="20"/>
          <w:szCs w:val="20"/>
        </w:rPr>
        <w:t xml:space="preserve"> have demonstrated sensitivity </w:t>
      </w:r>
      <w:r w:rsidR="007254D5" w:rsidRPr="004310DA">
        <w:rPr>
          <w:rFonts w:asciiTheme="minorBidi" w:hAnsiTheme="minorBidi"/>
          <w:sz w:val="20"/>
          <w:szCs w:val="20"/>
        </w:rPr>
        <w:t xml:space="preserve">and </w:t>
      </w:r>
      <w:r w:rsidR="004310DA" w:rsidRPr="004310DA">
        <w:rPr>
          <w:rFonts w:asciiTheme="minorBidi" w:hAnsiTheme="minorBidi"/>
          <w:sz w:val="20"/>
          <w:szCs w:val="20"/>
        </w:rPr>
        <w:t>common-sense</w:t>
      </w:r>
      <w:r w:rsidR="007254D5" w:rsidRPr="004310DA">
        <w:rPr>
          <w:rFonts w:asciiTheme="minorBidi" w:hAnsiTheme="minorBidi"/>
          <w:sz w:val="20"/>
          <w:szCs w:val="20"/>
        </w:rPr>
        <w:t xml:space="preserve"> logic in approving all exemptions, </w:t>
      </w:r>
      <w:r w:rsidRPr="004310DA">
        <w:rPr>
          <w:rFonts w:asciiTheme="minorBidi" w:hAnsiTheme="minorBidi"/>
          <w:sz w:val="20"/>
          <w:szCs w:val="20"/>
        </w:rPr>
        <w:t xml:space="preserve">which provides me the comfort in reaching out to Your Honor. </w:t>
      </w:r>
    </w:p>
    <w:p w14:paraId="743E1CC8" w14:textId="77777777" w:rsidR="00510857" w:rsidRPr="004310DA" w:rsidRDefault="00510857" w:rsidP="00D83726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p w14:paraId="5A4414A9" w14:textId="60727F0A" w:rsidR="00510857" w:rsidRPr="004310DA" w:rsidRDefault="00510857" w:rsidP="00F35293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  <w:r w:rsidRPr="004310DA">
        <w:rPr>
          <w:rFonts w:asciiTheme="minorBidi" w:hAnsiTheme="minorBidi"/>
          <w:sz w:val="20"/>
          <w:szCs w:val="20"/>
        </w:rPr>
        <w:lastRenderedPageBreak/>
        <w:t xml:space="preserve">I further understand the precarious situation communities and the courts face in dealing with </w:t>
      </w:r>
      <w:r w:rsidR="00F35293" w:rsidRPr="004310DA">
        <w:rPr>
          <w:rFonts w:asciiTheme="minorBidi" w:hAnsiTheme="minorBidi"/>
          <w:sz w:val="20"/>
          <w:szCs w:val="20"/>
        </w:rPr>
        <w:t>occupied nuisance properties</w:t>
      </w:r>
      <w:r w:rsidR="00F35293" w:rsidRPr="004310DA">
        <w:rPr>
          <w:rStyle w:val="FootnoteReference"/>
          <w:rFonts w:asciiTheme="minorBidi" w:hAnsiTheme="minorBidi"/>
          <w:sz w:val="20"/>
          <w:szCs w:val="20"/>
        </w:rPr>
        <w:footnoteReference w:id="4"/>
      </w:r>
      <w:r w:rsidR="00F35293" w:rsidRPr="004310DA">
        <w:rPr>
          <w:rFonts w:asciiTheme="minorBidi" w:hAnsiTheme="minorBidi"/>
          <w:sz w:val="20"/>
          <w:szCs w:val="20"/>
        </w:rPr>
        <w:t xml:space="preserve">. </w:t>
      </w:r>
    </w:p>
    <w:p w14:paraId="12D803C5" w14:textId="77777777" w:rsidR="00F35293" w:rsidRPr="004310DA" w:rsidRDefault="00F35293" w:rsidP="00F35293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p w14:paraId="1A11ADCB" w14:textId="0B4BB4E3" w:rsidR="00F35293" w:rsidRPr="004310DA" w:rsidRDefault="00F35293" w:rsidP="00F35293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  <w:r w:rsidRPr="004310DA">
        <w:rPr>
          <w:rFonts w:asciiTheme="minorBidi" w:hAnsiTheme="minorBidi"/>
          <w:sz w:val="20"/>
          <w:szCs w:val="20"/>
        </w:rPr>
        <w:t xml:space="preserve">I state this, in the hopes of demonstrating that I do not take the challenges the court faces lightly and strictly seek a more balanced approach to what I am seeing nationally, resulting in the </w:t>
      </w:r>
      <w:proofErr w:type="gramStart"/>
      <w:r w:rsidRPr="004310DA">
        <w:rPr>
          <w:rFonts w:asciiTheme="minorBidi" w:hAnsiTheme="minorBidi"/>
          <w:sz w:val="20"/>
          <w:szCs w:val="20"/>
        </w:rPr>
        <w:t>ultimate goal</w:t>
      </w:r>
      <w:proofErr w:type="gramEnd"/>
      <w:r w:rsidRPr="004310DA">
        <w:rPr>
          <w:rFonts w:asciiTheme="minorBidi" w:hAnsiTheme="minorBidi"/>
          <w:sz w:val="20"/>
          <w:szCs w:val="20"/>
        </w:rPr>
        <w:t xml:space="preserve"> </w:t>
      </w:r>
      <w:r w:rsidR="005645AE" w:rsidRPr="004310DA">
        <w:rPr>
          <w:rFonts w:asciiTheme="minorBidi" w:hAnsiTheme="minorBidi"/>
          <w:sz w:val="20"/>
          <w:szCs w:val="20"/>
        </w:rPr>
        <w:t xml:space="preserve">of </w:t>
      </w:r>
      <w:r w:rsidRPr="004310DA">
        <w:rPr>
          <w:rFonts w:asciiTheme="minorBidi" w:hAnsiTheme="minorBidi"/>
          <w:sz w:val="20"/>
          <w:szCs w:val="20"/>
        </w:rPr>
        <w:t xml:space="preserve">better and healthier communities. </w:t>
      </w:r>
    </w:p>
    <w:p w14:paraId="7C09C54D" w14:textId="77777777" w:rsidR="00F35293" w:rsidRPr="004310DA" w:rsidRDefault="00F35293" w:rsidP="00F35293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p w14:paraId="23D6FE6C" w14:textId="664A566E" w:rsidR="00F35293" w:rsidRPr="004310DA" w:rsidRDefault="00F35293" w:rsidP="00F35293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  <w:r w:rsidRPr="004310DA">
        <w:rPr>
          <w:rFonts w:asciiTheme="minorBidi" w:hAnsiTheme="minorBidi"/>
          <w:sz w:val="20"/>
          <w:szCs w:val="20"/>
        </w:rPr>
        <w:t xml:space="preserve">I am not an attorney, but it is my belief that owning a vacant property </w:t>
      </w:r>
      <w:r w:rsidR="00420C92" w:rsidRPr="004310DA">
        <w:rPr>
          <w:rFonts w:asciiTheme="minorBidi" w:hAnsiTheme="minorBidi"/>
          <w:sz w:val="20"/>
          <w:szCs w:val="20"/>
        </w:rPr>
        <w:t>is</w:t>
      </w:r>
      <w:r w:rsidRPr="004310DA">
        <w:rPr>
          <w:rFonts w:asciiTheme="minorBidi" w:hAnsiTheme="minorBidi"/>
          <w:sz w:val="20"/>
          <w:szCs w:val="20"/>
        </w:rPr>
        <w:t xml:space="preserve"> not a crime, however allowing it to impact (physically, </w:t>
      </w:r>
      <w:r w:rsidR="005645AE" w:rsidRPr="004310DA">
        <w:rPr>
          <w:rFonts w:asciiTheme="minorBidi" w:hAnsiTheme="minorBidi"/>
          <w:sz w:val="20"/>
          <w:szCs w:val="20"/>
        </w:rPr>
        <w:t>financially,</w:t>
      </w:r>
      <w:r w:rsidRPr="004310DA">
        <w:rPr>
          <w:rFonts w:asciiTheme="minorBidi" w:hAnsiTheme="minorBidi"/>
          <w:sz w:val="20"/>
          <w:szCs w:val="20"/>
        </w:rPr>
        <w:t xml:space="preserve"> and emotionally) others should be.</w:t>
      </w:r>
    </w:p>
    <w:p w14:paraId="559CD876" w14:textId="77777777" w:rsidR="00F35293" w:rsidRPr="004310DA" w:rsidRDefault="00F35293" w:rsidP="00F35293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p w14:paraId="27FBDDB7" w14:textId="3B8A60AD" w:rsidR="00F35293" w:rsidRPr="004310DA" w:rsidRDefault="00F35293" w:rsidP="00F35293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  <w:r w:rsidRPr="004310DA">
        <w:rPr>
          <w:rFonts w:asciiTheme="minorBidi" w:hAnsiTheme="minorBidi"/>
          <w:sz w:val="20"/>
          <w:szCs w:val="20"/>
        </w:rPr>
        <w:t xml:space="preserve">Here I will share some of the issues and evidence that the lack of active maintenance of vacant properties will result in, and in contrast, the value of active maintenance. </w:t>
      </w:r>
    </w:p>
    <w:p w14:paraId="07E9F8F8" w14:textId="77777777" w:rsidR="00AA0752" w:rsidRPr="004310DA" w:rsidRDefault="00AA0752" w:rsidP="00F35293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p w14:paraId="60BC7279" w14:textId="7239D339" w:rsidR="00AA0752" w:rsidRPr="004310DA" w:rsidRDefault="00D64338" w:rsidP="00F35293">
      <w:pPr>
        <w:spacing w:after="0" w:line="240" w:lineRule="auto"/>
        <w:textAlignment w:val="baseline"/>
        <w:rPr>
          <w:rFonts w:asciiTheme="minorBidi" w:hAnsiTheme="minorBidi"/>
          <w:b/>
          <w:bCs/>
          <w:sz w:val="20"/>
          <w:szCs w:val="20"/>
          <w:u w:val="single"/>
        </w:rPr>
      </w:pPr>
      <w:r w:rsidRPr="004310DA">
        <w:rPr>
          <w:rFonts w:asciiTheme="minorBidi" w:hAnsiTheme="minorBidi"/>
          <w:b/>
          <w:bCs/>
          <w:sz w:val="20"/>
          <w:szCs w:val="20"/>
          <w:u w:val="single"/>
        </w:rPr>
        <w:t>Results of Inaction</w:t>
      </w:r>
    </w:p>
    <w:p w14:paraId="47DB39DE" w14:textId="062CFBD1" w:rsidR="007254D5" w:rsidRPr="004310DA" w:rsidRDefault="007254D5" w:rsidP="00AA0752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Theme="minorBidi" w:hAnsiTheme="minorBidi"/>
          <w:i/>
          <w:iCs/>
          <w:sz w:val="20"/>
          <w:szCs w:val="20"/>
        </w:rPr>
      </w:pPr>
      <w:r w:rsidRPr="004310DA">
        <w:rPr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t>Study by Aaron Klein</w:t>
      </w:r>
      <w:r w:rsidR="004310DA" w:rsidRPr="004310DA">
        <w:rPr>
          <w:rStyle w:val="FootnoteReference"/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footnoteReference w:id="5"/>
      </w:r>
      <w:r w:rsidRPr="004310DA">
        <w:rPr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t xml:space="preserve"> (previously served as the Deputy Assistant Secretary of the U.S. Treasury Department for Economic Policy and Chief Economist of the U.S. Senate Banking, Housing, and Urban Affairs Committee) </w:t>
      </w:r>
    </w:p>
    <w:p w14:paraId="70560ADB" w14:textId="77777777" w:rsidR="007254D5" w:rsidRPr="004310DA" w:rsidRDefault="007254D5" w:rsidP="007254D5">
      <w:pPr>
        <w:numPr>
          <w:ilvl w:val="1"/>
          <w:numId w:val="4"/>
        </w:numPr>
        <w:shd w:val="clear" w:color="auto" w:fill="FFFFFF"/>
        <w:spacing w:before="100" w:beforeAutospacing="1" w:after="75" w:line="240" w:lineRule="auto"/>
        <w:rPr>
          <w:rFonts w:asciiTheme="minorBidi" w:eastAsia="Times New Roman" w:hAnsiTheme="minorBidi"/>
          <w:i/>
          <w:iCs/>
          <w:color w:val="404040"/>
          <w:spacing w:val="4"/>
          <w:kern w:val="0"/>
          <w:sz w:val="20"/>
          <w:szCs w:val="20"/>
          <w14:ligatures w14:val="none"/>
        </w:rPr>
      </w:pPr>
      <w:r w:rsidRPr="004310DA">
        <w:rPr>
          <w:rFonts w:asciiTheme="minorBidi" w:eastAsia="Times New Roman" w:hAnsiTheme="minorBidi"/>
          <w:i/>
          <w:iCs/>
          <w:color w:val="404040"/>
          <w:spacing w:val="4"/>
          <w:kern w:val="0"/>
          <w:sz w:val="20"/>
          <w:szCs w:val="20"/>
          <w14:ligatures w14:val="none"/>
        </w:rPr>
        <w:t>Vacant properties lead to increases in violent crime with substantial costs: $14,000 per vacant property per year in increased crime, translating into $795 million nationwide for all vacant properties.</w:t>
      </w:r>
    </w:p>
    <w:p w14:paraId="61C61A4B" w14:textId="4A887750" w:rsidR="007254D5" w:rsidRPr="004310DA" w:rsidRDefault="007254D5" w:rsidP="007254D5">
      <w:pPr>
        <w:numPr>
          <w:ilvl w:val="1"/>
          <w:numId w:val="4"/>
        </w:numPr>
        <w:shd w:val="clear" w:color="auto" w:fill="FFFFFF"/>
        <w:spacing w:before="100" w:beforeAutospacing="1" w:after="75" w:line="240" w:lineRule="auto"/>
        <w:rPr>
          <w:rFonts w:asciiTheme="minorBidi" w:eastAsia="Times New Roman" w:hAnsiTheme="minorBidi"/>
          <w:i/>
          <w:iCs/>
          <w:color w:val="404040"/>
          <w:spacing w:val="4"/>
          <w:kern w:val="0"/>
          <w:sz w:val="20"/>
          <w:szCs w:val="20"/>
          <w14:ligatures w14:val="none"/>
        </w:rPr>
      </w:pPr>
      <w:r w:rsidRPr="004310DA">
        <w:rPr>
          <w:rFonts w:asciiTheme="minorBidi" w:eastAsia="Times New Roman" w:hAnsiTheme="minorBidi"/>
          <w:i/>
          <w:iCs/>
          <w:color w:val="404040"/>
          <w:spacing w:val="4"/>
          <w:kern w:val="0"/>
          <w:sz w:val="20"/>
          <w:szCs w:val="20"/>
          <w14:ligatures w14:val="none"/>
        </w:rPr>
        <w:t xml:space="preserve">The impact of </w:t>
      </w:r>
      <w:proofErr w:type="gramStart"/>
      <w:r w:rsidRPr="004310DA">
        <w:rPr>
          <w:rFonts w:asciiTheme="minorBidi" w:eastAsia="Times New Roman" w:hAnsiTheme="minorBidi"/>
          <w:i/>
          <w:iCs/>
          <w:color w:val="404040"/>
          <w:spacing w:val="4"/>
          <w:kern w:val="0"/>
          <w:sz w:val="20"/>
          <w:szCs w:val="20"/>
          <w14:ligatures w14:val="none"/>
        </w:rPr>
        <w:t>vacancy</w:t>
      </w:r>
      <w:proofErr w:type="gramEnd"/>
      <w:r w:rsidRPr="004310DA">
        <w:rPr>
          <w:rFonts w:asciiTheme="minorBidi" w:eastAsia="Times New Roman" w:hAnsiTheme="minorBidi"/>
          <w:i/>
          <w:iCs/>
          <w:color w:val="404040"/>
          <w:spacing w:val="4"/>
          <w:kern w:val="0"/>
          <w:sz w:val="20"/>
          <w:szCs w:val="20"/>
          <w14:ligatures w14:val="none"/>
        </w:rPr>
        <w:t xml:space="preserve"> on crime increases as the property stays vacant for longer periods, likely plateauing at between 12 and 18 months.</w:t>
      </w:r>
    </w:p>
    <w:p w14:paraId="7AA08511" w14:textId="4CFE5B3A" w:rsidR="00660722" w:rsidRPr="004310DA" w:rsidRDefault="00660722" w:rsidP="00660722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Theme="minorBidi" w:eastAsia="Times New Roman" w:hAnsiTheme="minorBidi"/>
          <w:i/>
          <w:iCs/>
          <w:color w:val="404040"/>
          <w:spacing w:val="4"/>
          <w:kern w:val="0"/>
          <w:sz w:val="20"/>
          <w:szCs w:val="20"/>
          <w14:ligatures w14:val="none"/>
        </w:rPr>
      </w:pPr>
      <w:r w:rsidRPr="004310DA">
        <w:rPr>
          <w:rFonts w:ascii="Arial" w:hAnsi="Arial" w:cs="Arial"/>
          <w:color w:val="000000"/>
          <w:sz w:val="20"/>
          <w:szCs w:val="20"/>
          <w:shd w:val="clear" w:color="auto" w:fill="FFFFFF"/>
        </w:rPr>
        <w:t>National Fire Protection Association study</w:t>
      </w:r>
      <w:r w:rsidRPr="004310DA">
        <w:rPr>
          <w:rStyle w:val="FootnoteReference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6"/>
      </w:r>
      <w:r w:rsidRPr="004310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310D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In 2011-2015, U.S. fire departments responded to an estimated average of 30,200 structure fires per year in vacant properties. These fires resulted in an average of 60 civilian deaths, 160 civilian injuries, and $710 million in direct property damage per year.</w:t>
      </w:r>
      <w:r w:rsidR="002759C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4310DA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“</w:t>
      </w:r>
      <w:r w:rsidRPr="004310D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Half of vacant building fires were intentionally set compared to 10% of all structure fires.”</w:t>
      </w:r>
      <w:r w:rsidRPr="004310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</w:p>
    <w:p w14:paraId="5517BE57" w14:textId="0A5405D1" w:rsidR="00660722" w:rsidRPr="004310DA" w:rsidRDefault="00660722" w:rsidP="00660722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Theme="minorBidi" w:eastAsia="Times New Roman" w:hAnsiTheme="minorBidi"/>
          <w:i/>
          <w:iCs/>
          <w:color w:val="404040"/>
          <w:spacing w:val="4"/>
          <w:kern w:val="0"/>
          <w:sz w:val="20"/>
          <w:szCs w:val="20"/>
          <w14:ligatures w14:val="none"/>
        </w:rPr>
      </w:pPr>
      <w:r w:rsidRPr="004310DA">
        <w:rPr>
          <w:rFonts w:ascii="Arial" w:hAnsi="Arial" w:cs="Arial"/>
          <w:color w:val="000000"/>
          <w:sz w:val="20"/>
          <w:szCs w:val="20"/>
        </w:rPr>
        <w:t xml:space="preserve">Squatters </w:t>
      </w:r>
      <w:r w:rsidR="004310DA" w:rsidRPr="004310DA">
        <w:rPr>
          <w:rFonts w:ascii="Arial" w:hAnsi="Arial" w:cs="Arial"/>
          <w:color w:val="000000"/>
          <w:sz w:val="20"/>
          <w:szCs w:val="20"/>
        </w:rPr>
        <w:t>- I</w:t>
      </w:r>
      <w:r w:rsidRPr="004310DA">
        <w:rPr>
          <w:rFonts w:ascii="Arial" w:hAnsi="Arial" w:cs="Arial"/>
          <w:color w:val="000000"/>
          <w:sz w:val="20"/>
          <w:szCs w:val="20"/>
        </w:rPr>
        <w:t xml:space="preserve"> am unaware of any study regarding squatters and impact on surrounding community, however this quote</w:t>
      </w:r>
      <w:r w:rsidRPr="004310DA">
        <w:rPr>
          <w:rStyle w:val="FootnoteReference"/>
          <w:rFonts w:ascii="Arial" w:hAnsi="Arial" w:cs="Arial"/>
          <w:color w:val="000000"/>
          <w:sz w:val="20"/>
          <w:szCs w:val="20"/>
        </w:rPr>
        <w:footnoteReference w:id="7"/>
      </w:r>
      <w:r w:rsidRPr="004310DA">
        <w:rPr>
          <w:rFonts w:ascii="Arial" w:hAnsi="Arial" w:cs="Arial"/>
          <w:color w:val="000000"/>
          <w:sz w:val="20"/>
          <w:szCs w:val="20"/>
        </w:rPr>
        <w:t xml:space="preserve"> encapsulates the prior point along with squatters </w:t>
      </w:r>
      <w:r w:rsidRPr="004310DA">
        <w:rPr>
          <w:rFonts w:asciiTheme="minorBidi" w:hAnsiTheme="minorBidi"/>
          <w:i/>
          <w:iCs/>
          <w:color w:val="000000"/>
          <w:sz w:val="20"/>
          <w:szCs w:val="20"/>
        </w:rPr>
        <w:t>“</w:t>
      </w:r>
      <w:r w:rsidRPr="004310DA">
        <w:rPr>
          <w:rFonts w:asciiTheme="minorBidi" w:hAnsiTheme="minorBidi"/>
          <w:i/>
          <w:iCs/>
          <w:color w:val="333333"/>
          <w:sz w:val="20"/>
          <w:szCs w:val="20"/>
        </w:rPr>
        <w:t xml:space="preserve">Thick smoke billowed from the vacant, crumbling St. Louis house, but Benjamin Polson knew homeless people might be inside taking refuge from the January chill. </w:t>
      </w:r>
      <w:r w:rsidR="004310DA" w:rsidRPr="004310DA">
        <w:rPr>
          <w:rFonts w:asciiTheme="minorBidi" w:hAnsiTheme="minorBidi"/>
          <w:i/>
          <w:iCs/>
          <w:color w:val="333333"/>
          <w:sz w:val="20"/>
          <w:szCs w:val="20"/>
        </w:rPr>
        <w:t>So,</w:t>
      </w:r>
      <w:r w:rsidRPr="004310DA">
        <w:rPr>
          <w:rFonts w:asciiTheme="minorBidi" w:hAnsiTheme="minorBidi"/>
          <w:i/>
          <w:iCs/>
          <w:color w:val="333333"/>
          <w:sz w:val="20"/>
          <w:szCs w:val="20"/>
        </w:rPr>
        <w:t xml:space="preserve"> the 33-year-old firefighter went in. It cost him his life.</w:t>
      </w:r>
    </w:p>
    <w:p w14:paraId="03DE76F6" w14:textId="22F56DE0" w:rsidR="004310DA" w:rsidRPr="004310DA" w:rsidRDefault="004310DA" w:rsidP="002C14D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/>
        <w:textAlignment w:val="baseline"/>
        <w:rPr>
          <w:rFonts w:asciiTheme="minorBidi" w:hAnsiTheme="minorBidi"/>
          <w:i/>
          <w:iCs/>
          <w:sz w:val="20"/>
          <w:szCs w:val="20"/>
        </w:rPr>
      </w:pPr>
      <w:r w:rsidRPr="004310DA">
        <w:rPr>
          <w:rFonts w:asciiTheme="minorBidi" w:hAnsiTheme="minorBidi" w:cstheme="minorBidi"/>
          <w:color w:val="404040"/>
          <w:spacing w:val="4"/>
          <w:sz w:val="20"/>
          <w:szCs w:val="20"/>
        </w:rPr>
        <w:t xml:space="preserve">National Fire Protection Association study </w:t>
      </w:r>
      <w:r w:rsidRPr="004310DA">
        <w:rPr>
          <w:rStyle w:val="FootnoteReference"/>
          <w:rFonts w:asciiTheme="minorBidi" w:hAnsiTheme="minorBidi" w:cstheme="minorBidi"/>
          <w:color w:val="404040"/>
          <w:spacing w:val="4"/>
          <w:sz w:val="20"/>
          <w:szCs w:val="20"/>
        </w:rPr>
        <w:footnoteReference w:id="8"/>
      </w:r>
      <w:r w:rsidRPr="004310DA">
        <w:rPr>
          <w:rFonts w:asciiTheme="minorBidi" w:hAnsiTheme="minorBidi" w:cstheme="minorBidi"/>
          <w:i/>
          <w:iCs/>
          <w:color w:val="404040"/>
          <w:spacing w:val="4"/>
          <w:sz w:val="20"/>
          <w:szCs w:val="20"/>
        </w:rPr>
        <w:t>“</w:t>
      </w:r>
      <w:r w:rsidR="007254D5" w:rsidRPr="004310DA">
        <w:rPr>
          <w:rFonts w:asciiTheme="minorBidi" w:hAnsiTheme="minorBidi" w:cstheme="minorBidi"/>
          <w:i/>
          <w:iCs/>
          <w:color w:val="404040"/>
          <w:spacing w:val="4"/>
          <w:sz w:val="20"/>
          <w:szCs w:val="20"/>
        </w:rPr>
        <w:t>Vacant buildings are major fire hazards; vacant residential buildings account for one of every 14 residential building fires in America.</w:t>
      </w:r>
      <w:r w:rsidRPr="004310DA">
        <w:rPr>
          <w:rFonts w:asciiTheme="minorBidi" w:hAnsiTheme="minorBidi" w:cstheme="minorBidi"/>
          <w:i/>
          <w:iCs/>
          <w:color w:val="404040"/>
          <w:spacing w:val="4"/>
          <w:sz w:val="20"/>
          <w:szCs w:val="20"/>
        </w:rPr>
        <w:t>”</w:t>
      </w:r>
    </w:p>
    <w:p w14:paraId="32FE9B90" w14:textId="18B0B62C" w:rsidR="00AA0752" w:rsidRPr="004310DA" w:rsidRDefault="00AA0752" w:rsidP="002C14D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/>
        <w:textAlignment w:val="baseline"/>
        <w:rPr>
          <w:rFonts w:asciiTheme="minorBidi" w:hAnsiTheme="minorBidi"/>
          <w:i/>
          <w:iCs/>
          <w:sz w:val="20"/>
          <w:szCs w:val="20"/>
        </w:rPr>
      </w:pPr>
      <w:r w:rsidRPr="004310DA">
        <w:rPr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t>LSU Department of Sociology </w:t>
      </w:r>
      <w:r w:rsidRPr="004310DA">
        <w:rPr>
          <w:rFonts w:asciiTheme="minorBidi" w:hAnsiTheme="minorBidi"/>
          <w:color w:val="2E2E2E"/>
          <w:sz w:val="20"/>
          <w:szCs w:val="20"/>
        </w:rPr>
        <w:t>study</w:t>
      </w:r>
      <w:r w:rsidR="004310DA" w:rsidRPr="004310DA">
        <w:rPr>
          <w:rStyle w:val="FootnoteReference"/>
          <w:rFonts w:asciiTheme="minorBidi" w:hAnsiTheme="minorBidi"/>
          <w:color w:val="2E2E2E"/>
          <w:sz w:val="20"/>
          <w:szCs w:val="20"/>
        </w:rPr>
        <w:footnoteReference w:id="9"/>
      </w:r>
      <w:r w:rsidRPr="004310DA">
        <w:rPr>
          <w:rFonts w:asciiTheme="minorBidi" w:hAnsiTheme="minorBidi"/>
          <w:color w:val="2E2E2E"/>
          <w:sz w:val="20"/>
          <w:szCs w:val="20"/>
        </w:rPr>
        <w:t xml:space="preserve"> </w:t>
      </w:r>
      <w:r w:rsidRPr="004310DA">
        <w:rPr>
          <w:rFonts w:asciiTheme="minorBidi" w:hAnsiTheme="minorBidi"/>
          <w:i/>
          <w:iCs/>
          <w:color w:val="2E2E2E"/>
          <w:sz w:val="20"/>
          <w:szCs w:val="20"/>
        </w:rPr>
        <w:t xml:space="preserve">“Results indicate that places most at risk of experiencing a homicide are located in areas where blighted properties are concentrated and in close proximity </w:t>
      </w:r>
      <w:r w:rsidRPr="004310DA">
        <w:rPr>
          <w:rFonts w:asciiTheme="minorBidi" w:hAnsiTheme="minorBidi"/>
          <w:i/>
          <w:iCs/>
          <w:color w:val="2E2E2E"/>
          <w:sz w:val="20"/>
          <w:szCs w:val="20"/>
        </w:rPr>
        <w:lastRenderedPageBreak/>
        <w:t>to convenience stores</w:t>
      </w:r>
      <w:proofErr w:type="gramStart"/>
      <w:r w:rsidRPr="004310DA">
        <w:rPr>
          <w:rFonts w:asciiTheme="minorBidi" w:hAnsiTheme="minorBidi"/>
          <w:i/>
          <w:iCs/>
          <w:color w:val="2E2E2E"/>
          <w:sz w:val="20"/>
          <w:szCs w:val="20"/>
        </w:rPr>
        <w:t>.”…</w:t>
      </w:r>
      <w:proofErr w:type="gramEnd"/>
      <w:r w:rsidRPr="004310DA">
        <w:rPr>
          <w:rFonts w:asciiTheme="minorBidi" w:hAnsiTheme="minorBidi"/>
          <w:i/>
          <w:iCs/>
          <w:color w:val="2E2E2E"/>
          <w:sz w:val="20"/>
          <w:szCs w:val="20"/>
        </w:rPr>
        <w:t>………..”The results underscore how crime prevention through environmental design (CPTED) and blight remediation could be utilized as straightforward and prudent strategies to reduce lethal violence.”</w:t>
      </w:r>
    </w:p>
    <w:p w14:paraId="28C0A1F9" w14:textId="546FD640" w:rsidR="00D8727F" w:rsidRPr="004310DA" w:rsidRDefault="00420C92" w:rsidP="00D8727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Theme="minorBidi" w:hAnsiTheme="minorBidi"/>
          <w:i/>
          <w:iCs/>
          <w:sz w:val="20"/>
          <w:szCs w:val="20"/>
        </w:rPr>
      </w:pPr>
      <w:r w:rsidRPr="004310DA">
        <w:rPr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t>Virginia Commonwealth University study</w:t>
      </w:r>
      <w:r w:rsidRPr="004310DA">
        <w:rPr>
          <w:rStyle w:val="FootnoteReference"/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footnoteReference w:id="10"/>
      </w:r>
      <w:r w:rsidRPr="004310DA">
        <w:rPr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t xml:space="preserve"> “</w:t>
      </w:r>
      <w:r w:rsidRPr="004310DA">
        <w:rPr>
          <w:rFonts w:asciiTheme="minorBidi" w:hAnsiTheme="minorBidi"/>
          <w:i/>
          <w:iCs/>
          <w:color w:val="404040"/>
          <w:spacing w:val="4"/>
          <w:sz w:val="20"/>
          <w:szCs w:val="20"/>
          <w:shd w:val="clear" w:color="auto" w:fill="FFFFFF"/>
        </w:rPr>
        <w:t>N</w:t>
      </w:r>
      <w:r w:rsidRPr="004310DA">
        <w:rPr>
          <w:rFonts w:asciiTheme="minorBidi" w:hAnsiTheme="minorBidi"/>
          <w:i/>
          <w:iCs/>
          <w:color w:val="555555"/>
          <w:sz w:val="20"/>
          <w:szCs w:val="20"/>
          <w:shd w:val="clear" w:color="auto" w:fill="FFFFFF"/>
        </w:rPr>
        <w:t xml:space="preserve">egligent landlords — those who allow their properties to become dilapidated despite having tenants — are a significant predictor of violence in Richmond </w:t>
      </w:r>
      <w:proofErr w:type="gramStart"/>
      <w:r w:rsidRPr="004310DA">
        <w:rPr>
          <w:rFonts w:asciiTheme="minorBidi" w:hAnsiTheme="minorBidi"/>
          <w:i/>
          <w:iCs/>
          <w:color w:val="555555"/>
          <w:sz w:val="20"/>
          <w:szCs w:val="20"/>
          <w:shd w:val="clear" w:color="auto" w:fill="FFFFFF"/>
        </w:rPr>
        <w:t>neighborhoods</w:t>
      </w:r>
      <w:proofErr w:type="gramEnd"/>
      <w:r w:rsidRPr="004310DA">
        <w:rPr>
          <w:rFonts w:asciiTheme="minorBidi" w:hAnsiTheme="minorBidi"/>
          <w:i/>
          <w:iCs/>
          <w:color w:val="555555"/>
          <w:sz w:val="20"/>
          <w:szCs w:val="20"/>
          <w:shd w:val="clear" w:color="auto" w:fill="FFFFFF"/>
        </w:rPr>
        <w:t xml:space="preserve">” </w:t>
      </w:r>
    </w:p>
    <w:p w14:paraId="7A57BB5A" w14:textId="091C04D6" w:rsidR="00D8727F" w:rsidRPr="002F4EEF" w:rsidRDefault="00D8727F" w:rsidP="00CD077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Theme="minorBidi" w:hAnsiTheme="minorBidi"/>
          <w:i/>
          <w:iCs/>
          <w:sz w:val="20"/>
          <w:szCs w:val="20"/>
        </w:rPr>
      </w:pPr>
      <w:r w:rsidRPr="002F4EEF">
        <w:rPr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t>LSU Department of Sociology </w:t>
      </w:r>
      <w:r w:rsidRPr="002F4EEF">
        <w:rPr>
          <w:rFonts w:asciiTheme="minorBidi" w:hAnsiTheme="minorBidi"/>
          <w:color w:val="2E2E2E"/>
          <w:sz w:val="20"/>
          <w:szCs w:val="20"/>
        </w:rPr>
        <w:t>study</w:t>
      </w:r>
      <w:r w:rsidRPr="004310DA">
        <w:rPr>
          <w:rStyle w:val="FootnoteReference"/>
          <w:rFonts w:asciiTheme="minorBidi" w:hAnsiTheme="minorBidi"/>
          <w:color w:val="2E2E2E"/>
          <w:sz w:val="20"/>
          <w:szCs w:val="20"/>
        </w:rPr>
        <w:footnoteReference w:id="11"/>
      </w:r>
      <w:r w:rsidRPr="002F4EEF">
        <w:rPr>
          <w:rFonts w:asciiTheme="minorBidi" w:hAnsiTheme="minorBidi"/>
          <w:color w:val="2E2E2E"/>
          <w:sz w:val="20"/>
          <w:szCs w:val="20"/>
        </w:rPr>
        <w:t xml:space="preserve"> </w:t>
      </w:r>
      <w:r w:rsidRPr="002F4EEF">
        <w:rPr>
          <w:rFonts w:asciiTheme="minorBidi" w:hAnsiTheme="minorBidi"/>
          <w:i/>
          <w:iCs/>
          <w:color w:val="2E2E2E"/>
          <w:sz w:val="20"/>
          <w:szCs w:val="20"/>
        </w:rPr>
        <w:t>“</w:t>
      </w:r>
      <w:r w:rsidRPr="002F4EEF">
        <w:rPr>
          <w:rFonts w:asciiTheme="minorBidi" w:hAnsiTheme="minorBidi"/>
          <w:i/>
          <w:iCs/>
          <w:color w:val="333333"/>
          <w:sz w:val="20"/>
          <w:szCs w:val="20"/>
          <w:shd w:val="clear" w:color="auto" w:fill="FFFFFF"/>
        </w:rPr>
        <w:t xml:space="preserve">Researchers published findings that blight leads to an increased abundance of disease-carrying </w:t>
      </w:r>
      <w:proofErr w:type="gramStart"/>
      <w:r w:rsidRPr="002F4EEF">
        <w:rPr>
          <w:rFonts w:asciiTheme="minorBidi" w:hAnsiTheme="minorBidi"/>
          <w:i/>
          <w:iCs/>
          <w:color w:val="333333"/>
          <w:sz w:val="20"/>
          <w:szCs w:val="20"/>
          <w:shd w:val="clear" w:color="auto" w:fill="FFFFFF"/>
        </w:rPr>
        <w:t>mosquitoes</w:t>
      </w:r>
      <w:proofErr w:type="gramEnd"/>
      <w:r w:rsidRPr="002F4EEF">
        <w:rPr>
          <w:rFonts w:asciiTheme="minorBidi" w:hAnsiTheme="minorBidi"/>
          <w:i/>
          <w:iCs/>
          <w:color w:val="333333"/>
          <w:sz w:val="20"/>
          <w:szCs w:val="20"/>
          <w:shd w:val="clear" w:color="auto" w:fill="FFFFFF"/>
        </w:rPr>
        <w:t>”</w:t>
      </w:r>
    </w:p>
    <w:p w14:paraId="38A0657A" w14:textId="77777777" w:rsidR="00D8727F" w:rsidRPr="004310DA" w:rsidRDefault="00D8727F" w:rsidP="00D8727F">
      <w:pPr>
        <w:spacing w:after="0" w:line="240" w:lineRule="auto"/>
        <w:textAlignment w:val="baseline"/>
        <w:rPr>
          <w:rFonts w:asciiTheme="minorBidi" w:hAnsiTheme="minorBidi"/>
          <w:i/>
          <w:iCs/>
          <w:sz w:val="20"/>
          <w:szCs w:val="20"/>
        </w:rPr>
      </w:pPr>
    </w:p>
    <w:p w14:paraId="3F15C2EA" w14:textId="72224429" w:rsidR="00F35293" w:rsidRPr="004310DA" w:rsidRDefault="00D64338" w:rsidP="002F4EEF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  <w:r w:rsidRPr="004310DA">
        <w:rPr>
          <w:rFonts w:asciiTheme="minorBidi" w:hAnsiTheme="minorBidi"/>
          <w:b/>
          <w:bCs/>
          <w:sz w:val="20"/>
          <w:szCs w:val="20"/>
          <w:u w:val="single"/>
        </w:rPr>
        <w:t>Results of Proactive Action</w:t>
      </w:r>
    </w:p>
    <w:p w14:paraId="47625E1B" w14:textId="0221D7C6" w:rsidR="00F419CB" w:rsidRPr="004310DA" w:rsidRDefault="00F419CB" w:rsidP="00F419C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Style w:val="Emphasis"/>
          <w:rFonts w:asciiTheme="minorBidi" w:hAnsiTheme="minorBidi"/>
          <w:i w:val="0"/>
          <w:iCs w:val="0"/>
          <w:sz w:val="20"/>
          <w:szCs w:val="20"/>
        </w:rPr>
      </w:pPr>
      <w:r w:rsidRPr="004310DA">
        <w:rPr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t>Journal of Behavioral Medicine study</w:t>
      </w:r>
      <w:r w:rsidRPr="004310DA">
        <w:rPr>
          <w:rStyle w:val="FootnoteReference"/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footnoteReference w:id="12"/>
      </w:r>
      <w:r w:rsidRPr="004310DA">
        <w:rPr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t xml:space="preserve"> “</w:t>
      </w:r>
      <w:r w:rsidRPr="004310DA">
        <w:rPr>
          <w:rFonts w:asciiTheme="minorBidi" w:hAnsiTheme="minorBidi"/>
          <w:i/>
          <w:iCs/>
          <w:color w:val="333333"/>
          <w:sz w:val="20"/>
          <w:szCs w:val="20"/>
          <w:shd w:val="clear" w:color="auto" w:fill="FCFCFC"/>
        </w:rPr>
        <w:t xml:space="preserve">Although multiple interventions to remediate physical blight have been found to reduce urban firearm violence, there is limited evidence for demolishing vacant buildings as a violence reduction strategy.” ………” Receiving over 5 demolitions was associated with a 11% reduction in firearm assaults, relative to comparable control </w:t>
      </w:r>
      <w:proofErr w:type="gramStart"/>
      <w:r w:rsidRPr="004310DA">
        <w:rPr>
          <w:rFonts w:asciiTheme="minorBidi" w:hAnsiTheme="minorBidi"/>
          <w:i/>
          <w:iCs/>
          <w:color w:val="333333"/>
          <w:sz w:val="20"/>
          <w:szCs w:val="20"/>
          <w:shd w:val="clear" w:color="auto" w:fill="FCFCFC"/>
        </w:rPr>
        <w:t>locations</w:t>
      </w:r>
      <w:proofErr w:type="gramEnd"/>
      <w:r w:rsidRPr="004310DA">
        <w:rPr>
          <w:rFonts w:asciiTheme="minorBidi" w:hAnsiTheme="minorBidi"/>
          <w:i/>
          <w:iCs/>
          <w:color w:val="333333"/>
          <w:sz w:val="20"/>
          <w:szCs w:val="20"/>
          <w:shd w:val="clear" w:color="auto" w:fill="FCFCFC"/>
        </w:rPr>
        <w:t>” </w:t>
      </w:r>
    </w:p>
    <w:p w14:paraId="514B4F04" w14:textId="0E2548B1" w:rsidR="00F419CB" w:rsidRPr="004310DA" w:rsidRDefault="00F419CB" w:rsidP="00F419C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inorBidi" w:hAnsiTheme="minorBidi"/>
          <w:i/>
          <w:iCs/>
          <w:sz w:val="20"/>
          <w:szCs w:val="20"/>
        </w:rPr>
      </w:pPr>
      <w:r w:rsidRPr="004310DA">
        <w:rPr>
          <w:rStyle w:val="Emphasis"/>
          <w:rFonts w:asciiTheme="minorBidi" w:hAnsiTheme="minorBidi"/>
          <w:i w:val="0"/>
          <w:iCs w:val="0"/>
          <w:color w:val="404040"/>
          <w:spacing w:val="4"/>
          <w:sz w:val="20"/>
          <w:szCs w:val="20"/>
          <w:shd w:val="clear" w:color="auto" w:fill="FFFFFF"/>
        </w:rPr>
        <w:t>The American Journal of Public Health study</w:t>
      </w:r>
      <w:r w:rsidRPr="004310DA">
        <w:rPr>
          <w:rStyle w:val="FootnoteReference"/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footnoteReference w:id="13"/>
      </w:r>
      <w:r w:rsidRPr="004310DA">
        <w:rPr>
          <w:rStyle w:val="Emphasis"/>
          <w:rFonts w:asciiTheme="minorBidi" w:hAnsiTheme="minorBidi"/>
          <w:i w:val="0"/>
          <w:iCs w:val="0"/>
          <w:color w:val="404040"/>
          <w:spacing w:val="4"/>
          <w:sz w:val="20"/>
          <w:szCs w:val="20"/>
          <w:shd w:val="clear" w:color="auto" w:fill="FFFFFF"/>
        </w:rPr>
        <w:t xml:space="preserve"> “</w:t>
      </w:r>
      <w:r w:rsidRPr="004310DA">
        <w:rPr>
          <w:rStyle w:val="Emphasis"/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t>Abandoned building remediation significantly reduced firearm violence–39</w:t>
      </w:r>
      <w:proofErr w:type="gramStart"/>
      <w:r w:rsidRPr="004310DA">
        <w:rPr>
          <w:rStyle w:val="Emphasis"/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t>%”…</w:t>
      </w:r>
      <w:proofErr w:type="gramEnd"/>
      <w:r w:rsidRPr="004310DA">
        <w:rPr>
          <w:rStyle w:val="Emphasis"/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t>…”</w:t>
      </w:r>
      <w:r w:rsidRPr="004310DA">
        <w:rPr>
          <w:rFonts w:asciiTheme="minorBidi" w:hAnsiTheme="minorBidi"/>
          <w:sz w:val="20"/>
          <w:szCs w:val="20"/>
        </w:rPr>
        <w:t xml:space="preserve"> </w:t>
      </w:r>
      <w:r w:rsidRPr="004310DA">
        <w:rPr>
          <w:rStyle w:val="Emphasis"/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t>taxpayer and societal returns on investment for the prevention of firearm violence were $5 and $79 for every dollar spent on abandoned building remediation and $26 and $333 for every dollar spent on vacant lot remediation.</w:t>
      </w:r>
    </w:p>
    <w:p w14:paraId="706F75AE" w14:textId="671C6BA4" w:rsidR="00F35293" w:rsidRPr="004310DA" w:rsidRDefault="00F419CB" w:rsidP="00F419C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inorBidi" w:hAnsiTheme="minorBidi"/>
          <w:i/>
          <w:iCs/>
          <w:sz w:val="20"/>
          <w:szCs w:val="20"/>
        </w:rPr>
      </w:pPr>
      <w:r w:rsidRPr="004310DA">
        <w:rPr>
          <w:rFonts w:asciiTheme="minorBidi" w:hAnsiTheme="minorBidi"/>
          <w:sz w:val="20"/>
          <w:szCs w:val="20"/>
        </w:rPr>
        <w:t>Journal of American Medical Association study</w:t>
      </w:r>
      <w:r w:rsidRPr="004310DA">
        <w:rPr>
          <w:rStyle w:val="FootnoteReference"/>
          <w:rFonts w:asciiTheme="minorBidi" w:hAnsiTheme="minorBidi"/>
          <w:sz w:val="20"/>
          <w:szCs w:val="20"/>
        </w:rPr>
        <w:footnoteReference w:id="14"/>
      </w:r>
      <w:r w:rsidRPr="004310DA">
        <w:rPr>
          <w:rFonts w:asciiTheme="minorBidi" w:hAnsiTheme="minorBidi"/>
          <w:sz w:val="20"/>
          <w:szCs w:val="20"/>
        </w:rPr>
        <w:t xml:space="preserve"> </w:t>
      </w:r>
      <w:r w:rsidR="004310DA" w:rsidRPr="004310DA">
        <w:rPr>
          <w:rFonts w:asciiTheme="minorBidi" w:hAnsiTheme="minorBidi"/>
          <w:i/>
          <w:iCs/>
          <w:sz w:val="20"/>
          <w:szCs w:val="20"/>
        </w:rPr>
        <w:t>“</w:t>
      </w:r>
      <w:r w:rsidR="004310DA" w:rsidRPr="004310DA">
        <w:rPr>
          <w:rFonts w:asciiTheme="minorBidi" w:hAnsiTheme="minorBidi"/>
          <w:i/>
          <w:iCs/>
          <w:color w:val="333333"/>
          <w:sz w:val="20"/>
          <w:szCs w:val="20"/>
        </w:rPr>
        <w:t>abandoned</w:t>
      </w:r>
      <w:r w:rsidRPr="004310DA">
        <w:rPr>
          <w:rFonts w:asciiTheme="minorBidi" w:hAnsiTheme="minorBidi"/>
          <w:i/>
          <w:iCs/>
          <w:color w:val="333333"/>
          <w:sz w:val="20"/>
          <w:szCs w:val="20"/>
        </w:rPr>
        <w:t xml:space="preserve"> houses that were remediated showed substantial drops in nearby weapons violations (−8.43%), gun assaults (−13.12%), and to a lesser extent shootings (−6.96%)”</w:t>
      </w:r>
    </w:p>
    <w:p w14:paraId="75F848B2" w14:textId="503A1AF7" w:rsidR="00420C92" w:rsidRPr="004310DA" w:rsidRDefault="00420C92" w:rsidP="00F419C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inorBidi" w:hAnsiTheme="minorBidi"/>
          <w:i/>
          <w:iCs/>
          <w:sz w:val="20"/>
          <w:szCs w:val="20"/>
        </w:rPr>
      </w:pPr>
      <w:r w:rsidRPr="004310DA">
        <w:rPr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t xml:space="preserve">Journal of the American Medical Association study, </w:t>
      </w:r>
      <w:r w:rsidR="004310DA" w:rsidRPr="004310DA">
        <w:rPr>
          <w:rStyle w:val="FootnoteReference"/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footnoteReference w:id="15"/>
      </w:r>
      <w:r w:rsidRPr="004310DA">
        <w:rPr>
          <w:rFonts w:asciiTheme="minorBidi" w:hAnsiTheme="minorBidi"/>
          <w:i/>
          <w:iCs/>
          <w:color w:val="404040"/>
          <w:spacing w:val="4"/>
          <w:sz w:val="20"/>
          <w:szCs w:val="20"/>
          <w:shd w:val="clear" w:color="auto" w:fill="FFFFFF"/>
        </w:rPr>
        <w:t>“</w:t>
      </w:r>
      <w:r w:rsidR="00D8727F" w:rsidRPr="004310DA">
        <w:rPr>
          <w:rFonts w:asciiTheme="minorBidi" w:hAnsiTheme="minorBidi"/>
          <w:i/>
          <w:iCs/>
          <w:color w:val="404040"/>
          <w:spacing w:val="4"/>
          <w:sz w:val="20"/>
          <w:szCs w:val="20"/>
          <w:shd w:val="clear" w:color="auto" w:fill="FFFFFF"/>
        </w:rPr>
        <w:t>found a tight link between municipally funded house repairs and a drop in crime on those blocks with a city-funded overhauled home</w:t>
      </w:r>
      <w:proofErr w:type="gramStart"/>
      <w:r w:rsidR="00D8727F" w:rsidRPr="004310DA">
        <w:rPr>
          <w:rFonts w:asciiTheme="minorBidi" w:hAnsiTheme="minorBidi"/>
          <w:i/>
          <w:iCs/>
          <w:color w:val="404040"/>
          <w:spacing w:val="4"/>
          <w:sz w:val="20"/>
          <w:szCs w:val="20"/>
          <w:shd w:val="clear" w:color="auto" w:fill="FFFFFF"/>
        </w:rPr>
        <w:t>.”...</w:t>
      </w:r>
      <w:proofErr w:type="gramEnd"/>
      <w:r w:rsidR="00D8727F" w:rsidRPr="004310DA">
        <w:rPr>
          <w:rFonts w:asciiTheme="minorBidi" w:hAnsiTheme="minorBidi"/>
          <w:i/>
          <w:iCs/>
          <w:color w:val="404040"/>
          <w:spacing w:val="4"/>
          <w:sz w:val="20"/>
          <w:szCs w:val="20"/>
          <w:shd w:val="clear" w:color="auto" w:fill="FFFFFF"/>
        </w:rPr>
        <w:t>. (quote from lead author</w:t>
      </w:r>
      <w:r w:rsidR="004310DA" w:rsidRPr="004310DA">
        <w:rPr>
          <w:rFonts w:asciiTheme="minorBidi" w:hAnsiTheme="minorBidi"/>
          <w:i/>
          <w:iCs/>
          <w:color w:val="404040"/>
          <w:spacing w:val="4"/>
          <w:sz w:val="20"/>
          <w:szCs w:val="20"/>
          <w:shd w:val="clear" w:color="auto" w:fill="FFFFFF"/>
        </w:rPr>
        <w:t>)” A</w:t>
      </w:r>
      <w:r w:rsidR="00D8727F" w:rsidRPr="004310DA">
        <w:rPr>
          <w:rFonts w:asciiTheme="minorBidi" w:hAnsiTheme="minorBidi"/>
          <w:i/>
          <w:iCs/>
          <w:color w:val="404040"/>
          <w:spacing w:val="4"/>
          <w:sz w:val="20"/>
          <w:szCs w:val="20"/>
          <w:shd w:val="clear" w:color="auto" w:fill="FFFFFF"/>
        </w:rPr>
        <w:t xml:space="preserve"> maintained house might lead to a reduction in stress and a boost in mental health, which lead to a “cascade of good things” she said. “Perhaps it’s easier not to get mad at a neighbor’s barking dog or to connect with neighbors if there’s no mold in the house causing a child’s asthma.”</w:t>
      </w:r>
    </w:p>
    <w:p w14:paraId="4349CD3B" w14:textId="54738F61" w:rsidR="007254D5" w:rsidRPr="004310DA" w:rsidRDefault="007254D5" w:rsidP="007254D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inorBidi" w:hAnsiTheme="minorBidi"/>
          <w:i/>
          <w:iCs/>
          <w:sz w:val="20"/>
          <w:szCs w:val="20"/>
        </w:rPr>
      </w:pPr>
      <w:r w:rsidRPr="004310DA">
        <w:rPr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t xml:space="preserve">Iowa State University study </w:t>
      </w:r>
      <w:r w:rsidR="004310DA" w:rsidRPr="004310DA">
        <w:rPr>
          <w:rStyle w:val="FootnoteReference"/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footnoteReference w:id="16"/>
      </w:r>
      <w:r w:rsidRPr="004310DA">
        <w:rPr>
          <w:rFonts w:asciiTheme="minorBidi" w:hAnsiTheme="minorBidi"/>
          <w:color w:val="404040"/>
          <w:spacing w:val="4"/>
          <w:sz w:val="20"/>
          <w:szCs w:val="20"/>
          <w:shd w:val="clear" w:color="auto" w:fill="FFFFFF"/>
        </w:rPr>
        <w:t>“proximity to demolitions decreases the likelihood that a property’s condition deteriorated between 2015 and 2018 and increases the likelihood that it improved.”</w:t>
      </w:r>
    </w:p>
    <w:p w14:paraId="27109C52" w14:textId="77777777" w:rsidR="007254D5" w:rsidRPr="004310DA" w:rsidRDefault="007254D5" w:rsidP="007254D5">
      <w:pPr>
        <w:pStyle w:val="ListParagraph"/>
        <w:spacing w:after="0" w:line="240" w:lineRule="auto"/>
        <w:ind w:left="1080"/>
        <w:textAlignment w:val="baseline"/>
        <w:rPr>
          <w:rFonts w:asciiTheme="minorBidi" w:hAnsiTheme="minorBidi"/>
          <w:i/>
          <w:iCs/>
          <w:sz w:val="20"/>
          <w:szCs w:val="20"/>
        </w:rPr>
      </w:pPr>
    </w:p>
    <w:p w14:paraId="25AC13C0" w14:textId="77777777" w:rsidR="006A756C" w:rsidRPr="004310DA" w:rsidRDefault="006A756C" w:rsidP="00D83726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p w14:paraId="7DDD2F11" w14:textId="77777777" w:rsidR="001446EB" w:rsidRPr="004310DA" w:rsidRDefault="001446EB" w:rsidP="00D83726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p w14:paraId="29D0D9A1" w14:textId="3DB4CC47" w:rsidR="001446EB" w:rsidRPr="004310DA" w:rsidRDefault="0088616F" w:rsidP="00D64338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lastRenderedPageBreak/>
        <w:t>From</w:t>
      </w:r>
      <w:r w:rsidR="001446EB" w:rsidRPr="004310DA">
        <w:rPr>
          <w:rFonts w:asciiTheme="minorBidi" w:hAnsiTheme="minorBidi"/>
          <w:sz w:val="20"/>
          <w:szCs w:val="20"/>
        </w:rPr>
        <w:t xml:space="preserve"> my perspective, communities (all branches of government) have let the pendulum swing too far in support of the property rights of the owners of vacant property</w:t>
      </w:r>
      <w:r w:rsidR="00D64338" w:rsidRPr="004310DA">
        <w:rPr>
          <w:rFonts w:asciiTheme="minorBidi" w:hAnsiTheme="minorBidi"/>
          <w:sz w:val="20"/>
          <w:szCs w:val="20"/>
        </w:rPr>
        <w:t xml:space="preserve">. This results in severe negative consequences </w:t>
      </w:r>
      <w:r w:rsidR="005645AE" w:rsidRPr="004310DA">
        <w:rPr>
          <w:rFonts w:asciiTheme="minorBidi" w:hAnsiTheme="minorBidi"/>
          <w:sz w:val="20"/>
          <w:szCs w:val="20"/>
        </w:rPr>
        <w:t>for the</w:t>
      </w:r>
      <w:r w:rsidR="001446EB" w:rsidRPr="004310DA">
        <w:rPr>
          <w:rFonts w:asciiTheme="minorBidi" w:hAnsiTheme="minorBidi"/>
          <w:sz w:val="20"/>
          <w:szCs w:val="20"/>
        </w:rPr>
        <w:t xml:space="preserve"> immediate neighbors and the greater community. </w:t>
      </w:r>
    </w:p>
    <w:p w14:paraId="61AE42F8" w14:textId="77777777" w:rsidR="006A756C" w:rsidRPr="004310DA" w:rsidRDefault="006A756C" w:rsidP="00D83726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p w14:paraId="36BA53FE" w14:textId="07E2BD0A" w:rsidR="00474FB9" w:rsidRDefault="006A756C" w:rsidP="002F4EEF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  <w:r w:rsidRPr="004310DA">
        <w:rPr>
          <w:rFonts w:asciiTheme="minorBidi" w:hAnsiTheme="minorBidi"/>
          <w:sz w:val="20"/>
          <w:szCs w:val="20"/>
        </w:rPr>
        <w:t xml:space="preserve">There are often extenuating circumstances, </w:t>
      </w:r>
      <w:r w:rsidR="00474FB9">
        <w:rPr>
          <w:rFonts w:asciiTheme="minorBidi" w:hAnsiTheme="minorBidi"/>
          <w:sz w:val="20"/>
          <w:szCs w:val="20"/>
        </w:rPr>
        <w:t xml:space="preserve">for which </w:t>
      </w:r>
      <w:r w:rsidRPr="004310DA">
        <w:rPr>
          <w:rFonts w:asciiTheme="minorBidi" w:hAnsiTheme="minorBidi"/>
          <w:sz w:val="20"/>
          <w:szCs w:val="20"/>
        </w:rPr>
        <w:t xml:space="preserve">I always encourage concern and compassion, however there are many “bad apples” that </w:t>
      </w:r>
      <w:r w:rsidR="00D64338" w:rsidRPr="004310DA">
        <w:rPr>
          <w:rFonts w:asciiTheme="minorBidi" w:hAnsiTheme="minorBidi"/>
          <w:sz w:val="20"/>
          <w:szCs w:val="20"/>
        </w:rPr>
        <w:t xml:space="preserve">should be aggressively </w:t>
      </w:r>
      <w:r w:rsidRPr="004310DA">
        <w:rPr>
          <w:rFonts w:asciiTheme="minorBidi" w:hAnsiTheme="minorBidi"/>
          <w:sz w:val="20"/>
          <w:szCs w:val="20"/>
        </w:rPr>
        <w:t>addressed</w:t>
      </w:r>
      <w:r w:rsidR="00474FB9">
        <w:rPr>
          <w:rFonts w:asciiTheme="minorBidi" w:hAnsiTheme="minorBidi"/>
          <w:sz w:val="20"/>
          <w:szCs w:val="20"/>
        </w:rPr>
        <w:t>,</w:t>
      </w:r>
      <w:r w:rsidRPr="004310DA">
        <w:rPr>
          <w:rFonts w:asciiTheme="minorBidi" w:hAnsiTheme="minorBidi"/>
          <w:sz w:val="20"/>
          <w:szCs w:val="20"/>
        </w:rPr>
        <w:t xml:space="preserve"> </w:t>
      </w:r>
      <w:r w:rsidR="00D64338" w:rsidRPr="004310DA">
        <w:rPr>
          <w:rFonts w:asciiTheme="minorBidi" w:hAnsiTheme="minorBidi"/>
          <w:sz w:val="20"/>
          <w:szCs w:val="20"/>
        </w:rPr>
        <w:t xml:space="preserve">which </w:t>
      </w:r>
      <w:r w:rsidRPr="004310DA">
        <w:rPr>
          <w:rFonts w:asciiTheme="minorBidi" w:hAnsiTheme="minorBidi"/>
          <w:sz w:val="20"/>
          <w:szCs w:val="20"/>
        </w:rPr>
        <w:t>would make a dramatic impact on the lives of many.</w:t>
      </w:r>
    </w:p>
    <w:p w14:paraId="41FDA06B" w14:textId="77777777" w:rsidR="00474FB9" w:rsidRDefault="00474FB9" w:rsidP="00474FB9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p w14:paraId="22F3F597" w14:textId="6F6CE3B6" w:rsidR="00474FB9" w:rsidRDefault="00474FB9" w:rsidP="002F4EEF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While “hiding behind a corporate veil” in a maze of LLCs may be legal, shirking one’s responsibility not to damage others should not be.</w:t>
      </w:r>
      <w:r w:rsidR="002F4EEF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 xml:space="preserve">As real estate is an asset, theoretically one should want to improve the value of an asset (i.e. make money) and </w:t>
      </w:r>
      <w:proofErr w:type="gramStart"/>
      <w:r>
        <w:rPr>
          <w:rFonts w:asciiTheme="minorBidi" w:hAnsiTheme="minorBidi"/>
          <w:sz w:val="20"/>
          <w:szCs w:val="20"/>
        </w:rPr>
        <w:t>definitely not</w:t>
      </w:r>
      <w:proofErr w:type="gramEnd"/>
      <w:r>
        <w:rPr>
          <w:rFonts w:asciiTheme="minorBidi" w:hAnsiTheme="minorBidi"/>
          <w:sz w:val="20"/>
          <w:szCs w:val="20"/>
        </w:rPr>
        <w:t xml:space="preserve"> let it deteriorate. If deterioration is </w:t>
      </w:r>
      <w:r w:rsidR="002F4EEF">
        <w:rPr>
          <w:rFonts w:asciiTheme="minorBidi" w:hAnsiTheme="minorBidi"/>
          <w:sz w:val="20"/>
          <w:szCs w:val="20"/>
        </w:rPr>
        <w:t>happening,</w:t>
      </w:r>
      <w:r>
        <w:rPr>
          <w:rFonts w:asciiTheme="minorBidi" w:hAnsiTheme="minorBidi"/>
          <w:sz w:val="20"/>
          <w:szCs w:val="20"/>
        </w:rPr>
        <w:t xml:space="preserve"> </w:t>
      </w:r>
      <w:r w:rsidR="0088616F">
        <w:rPr>
          <w:rFonts w:asciiTheme="minorBidi" w:hAnsiTheme="minorBidi"/>
          <w:sz w:val="20"/>
          <w:szCs w:val="20"/>
        </w:rPr>
        <w:t xml:space="preserve">it would indicate many red flags. </w:t>
      </w:r>
    </w:p>
    <w:p w14:paraId="28CBD77D" w14:textId="77777777" w:rsidR="0088616F" w:rsidRDefault="0088616F" w:rsidP="00474FB9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p w14:paraId="1255115E" w14:textId="52FA8288" w:rsidR="0088616F" w:rsidRDefault="0088616F" w:rsidP="00474FB9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For cases of </w:t>
      </w:r>
      <w:r w:rsidR="002F4EEF">
        <w:rPr>
          <w:rFonts w:asciiTheme="minorBidi" w:hAnsiTheme="minorBidi"/>
          <w:sz w:val="20"/>
          <w:szCs w:val="20"/>
        </w:rPr>
        <w:t>hardship,</w:t>
      </w:r>
      <w:r>
        <w:rPr>
          <w:rFonts w:asciiTheme="minorBidi" w:hAnsiTheme="minorBidi"/>
          <w:sz w:val="20"/>
          <w:szCs w:val="20"/>
        </w:rPr>
        <w:t xml:space="preserve"> we advocate for utilization of various assistance programs, however often these properties are a result of either inaction by local government, inaction by neighbors, but more importantly the (out of town) owners not having to face any circumstances.</w:t>
      </w:r>
    </w:p>
    <w:p w14:paraId="7E487F07" w14:textId="77777777" w:rsidR="0088616F" w:rsidRDefault="0088616F" w:rsidP="00474FB9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p w14:paraId="7DBCAAB9" w14:textId="6B026DE5" w:rsidR="002F4EEF" w:rsidRDefault="0088616F" w:rsidP="002F4EEF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Additionally, I am aware of issues with “probate/heir properties” (owner dies intestate) which comprise a number of these properties, for which I am working with local governments for unique solutions.</w:t>
      </w:r>
      <w:r w:rsidR="002F4EEF" w:rsidRPr="002F4EEF">
        <w:rPr>
          <w:rFonts w:asciiTheme="minorBidi" w:hAnsiTheme="minorBidi"/>
          <w:sz w:val="20"/>
          <w:szCs w:val="20"/>
        </w:rPr>
        <w:t xml:space="preserve"> </w:t>
      </w:r>
      <w:r w:rsidR="002F4EEF">
        <w:rPr>
          <w:rFonts w:asciiTheme="minorBidi" w:hAnsiTheme="minorBidi"/>
          <w:sz w:val="20"/>
          <w:szCs w:val="20"/>
        </w:rPr>
        <w:t>Furthermore, I understand there are multiple related issues that I have not discussed, but I wanted to share my thoughts - with a narrower focus.</w:t>
      </w:r>
    </w:p>
    <w:p w14:paraId="3FBB5A9F" w14:textId="77777777" w:rsidR="0088616F" w:rsidRDefault="0088616F" w:rsidP="00474FB9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p w14:paraId="52F59F31" w14:textId="50A92CD4" w:rsidR="0088616F" w:rsidRDefault="0088616F" w:rsidP="0088616F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I am acutely aware of issues pertaining to inadequate or incorrect notification to property owners. </w:t>
      </w:r>
      <w:proofErr w:type="gramStart"/>
      <w:r>
        <w:rPr>
          <w:rFonts w:asciiTheme="minorBidi" w:hAnsiTheme="minorBidi"/>
          <w:sz w:val="20"/>
          <w:szCs w:val="20"/>
        </w:rPr>
        <w:t>That being said, if</w:t>
      </w:r>
      <w:proofErr w:type="gramEnd"/>
      <w:r>
        <w:rPr>
          <w:rFonts w:asciiTheme="minorBidi" w:hAnsiTheme="minorBidi"/>
          <w:sz w:val="20"/>
          <w:szCs w:val="20"/>
        </w:rPr>
        <w:t xml:space="preserve"> a municipality can demonstrate a good faith and reasonable effort to identify and communicate with property owners then they should be encouraged to proceed in the betterment of the community. </w:t>
      </w:r>
    </w:p>
    <w:p w14:paraId="7313A032" w14:textId="77777777" w:rsidR="0088616F" w:rsidRDefault="0088616F" w:rsidP="00474FB9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p w14:paraId="0FFF96B5" w14:textId="5EEF5550" w:rsidR="0088616F" w:rsidRDefault="0088616F" w:rsidP="0088616F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In summary, (reasonably defined) vacant properties cause absolute damage to neighboring properties and their occupants. </w:t>
      </w:r>
      <w:r w:rsidR="002F4EEF">
        <w:rPr>
          <w:rFonts w:asciiTheme="minorBidi" w:hAnsiTheme="minorBidi"/>
          <w:sz w:val="20"/>
          <w:szCs w:val="20"/>
        </w:rPr>
        <w:t xml:space="preserve">This is generally not brought to the forefront. </w:t>
      </w:r>
      <w:proofErr w:type="gramStart"/>
      <w:r>
        <w:rPr>
          <w:rFonts w:asciiTheme="minorBidi" w:hAnsiTheme="minorBidi"/>
          <w:sz w:val="20"/>
          <w:szCs w:val="20"/>
        </w:rPr>
        <w:t>These damages</w:t>
      </w:r>
      <w:proofErr w:type="gramEnd"/>
      <w:r>
        <w:rPr>
          <w:rFonts w:asciiTheme="minorBidi" w:hAnsiTheme="minorBidi"/>
          <w:sz w:val="20"/>
          <w:szCs w:val="20"/>
        </w:rPr>
        <w:t xml:space="preserve"> can be avoided with responsible ownership</w:t>
      </w:r>
      <w:r w:rsidR="002F4EEF">
        <w:rPr>
          <w:rFonts w:asciiTheme="minorBidi" w:hAnsiTheme="minorBidi"/>
          <w:sz w:val="20"/>
          <w:szCs w:val="20"/>
        </w:rPr>
        <w:t>,</w:t>
      </w:r>
      <w:r>
        <w:rPr>
          <w:rFonts w:asciiTheme="minorBidi" w:hAnsiTheme="minorBidi"/>
          <w:sz w:val="20"/>
          <w:szCs w:val="20"/>
        </w:rPr>
        <w:t xml:space="preserve"> that would </w:t>
      </w:r>
      <w:proofErr w:type="gramStart"/>
      <w:r w:rsidR="002F4EEF">
        <w:rPr>
          <w:rFonts w:asciiTheme="minorBidi" w:hAnsiTheme="minorBidi"/>
          <w:sz w:val="20"/>
          <w:szCs w:val="20"/>
        </w:rPr>
        <w:t>actually be</w:t>
      </w:r>
      <w:proofErr w:type="gramEnd"/>
      <w:r w:rsidR="002F4EEF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 xml:space="preserve">in their own benefit. </w:t>
      </w:r>
    </w:p>
    <w:p w14:paraId="04A70281" w14:textId="77777777" w:rsidR="002F4EEF" w:rsidRDefault="002F4EEF" w:rsidP="0088616F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p w14:paraId="28D4F1CA" w14:textId="5EA5005A" w:rsidR="002F4EEF" w:rsidRDefault="002F4EEF" w:rsidP="0088616F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To strike the proper balance, aggressive enforcement is needed with the proper safeguards.</w:t>
      </w:r>
    </w:p>
    <w:p w14:paraId="115CE6D1" w14:textId="77777777" w:rsidR="00474FB9" w:rsidRPr="004310DA" w:rsidRDefault="00474FB9" w:rsidP="00D83726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p w14:paraId="2520C9E4" w14:textId="42A01197" w:rsidR="005645AE" w:rsidRPr="004310DA" w:rsidRDefault="006A756C" w:rsidP="002F4EEF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  <w:r w:rsidRPr="004310DA">
        <w:rPr>
          <w:rFonts w:asciiTheme="minorBidi" w:hAnsiTheme="minorBidi"/>
          <w:sz w:val="20"/>
          <w:szCs w:val="20"/>
        </w:rPr>
        <w:t>Thank you for your time and consideration</w:t>
      </w:r>
      <w:r w:rsidR="002F4EEF">
        <w:rPr>
          <w:rFonts w:asciiTheme="minorBidi" w:hAnsiTheme="minorBidi"/>
          <w:sz w:val="20"/>
          <w:szCs w:val="20"/>
        </w:rPr>
        <w:t xml:space="preserve"> and o</w:t>
      </w:r>
      <w:r w:rsidRPr="004310DA">
        <w:rPr>
          <w:rFonts w:asciiTheme="minorBidi" w:hAnsiTheme="minorBidi"/>
          <w:sz w:val="20"/>
          <w:szCs w:val="20"/>
        </w:rPr>
        <w:t xml:space="preserve">f course, if Your Honor would like to discuss further, I will avail myself as needed.  </w:t>
      </w:r>
      <w:r w:rsidR="002759C3">
        <w:rPr>
          <w:rFonts w:asciiTheme="minorBidi" w:hAnsiTheme="minorBidi"/>
          <w:sz w:val="20"/>
          <w:szCs w:val="20"/>
        </w:rPr>
        <w:t xml:space="preserve">As I know from city staff you care deeply about your community, </w:t>
      </w:r>
      <w:r w:rsidR="003D761E">
        <w:rPr>
          <w:rFonts w:asciiTheme="minorBidi" w:hAnsiTheme="minorBidi"/>
          <w:sz w:val="20"/>
          <w:szCs w:val="20"/>
        </w:rPr>
        <w:t>I hope you found this information of value and interest.</w:t>
      </w:r>
    </w:p>
    <w:p w14:paraId="1042B9B2" w14:textId="77777777" w:rsidR="005645AE" w:rsidRPr="004310DA" w:rsidRDefault="005645AE" w:rsidP="00D83726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tbl>
      <w:tblPr>
        <w:tblW w:w="63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</w:tblGrid>
      <w:tr w:rsidR="00D64338" w:rsidRPr="004310DA" w14:paraId="6282666C" w14:textId="77777777" w:rsidTr="00D643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3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D64338" w:rsidRPr="004310DA" w14:paraId="586F0A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C42605A" w14:textId="77777777" w:rsidR="00D64338" w:rsidRPr="004310DA" w:rsidRDefault="00D64338">
                  <w:pPr>
                    <w:spacing w:line="252" w:lineRule="auto"/>
                    <w:rPr>
                      <w:rFonts w:ascii="Arial" w:eastAsiaTheme="minorEastAsia" w:hAnsi="Arial" w:cs="Arial"/>
                      <w:b/>
                      <w:bCs/>
                      <w:noProof/>
                      <w:color w:val="1F3864"/>
                      <w:kern w:val="0"/>
                      <w:sz w:val="20"/>
                      <w:szCs w:val="20"/>
                      <w14:ligatures w14:val="none"/>
                    </w:rPr>
                  </w:pPr>
                  <w:bookmarkStart w:id="0" w:name="_MailAutoSig"/>
                  <w:r w:rsidRPr="004310DA">
                    <w:rPr>
                      <w:rFonts w:ascii="Arial" w:eastAsiaTheme="minorEastAsia" w:hAnsi="Arial" w:cs="Arial"/>
                      <w:b/>
                      <w:bCs/>
                      <w:noProof/>
                      <w:color w:val="1F3864"/>
                      <w:kern w:val="0"/>
                      <w:sz w:val="20"/>
                      <w:szCs w:val="20"/>
                      <w14:ligatures w14:val="none"/>
                    </w:rPr>
                    <w:t>Thank you,</w:t>
                  </w:r>
                </w:p>
                <w:p w14:paraId="7F7C239C" w14:textId="3DF9E3EF" w:rsidR="00D64338" w:rsidRPr="004310DA" w:rsidRDefault="00D64338" w:rsidP="00D64338">
                  <w:pPr>
                    <w:spacing w:line="252" w:lineRule="auto"/>
                    <w:rPr>
                      <w:rFonts w:ascii="Arial" w:eastAsiaTheme="minorEastAsia" w:hAnsi="Arial" w:cs="Arial"/>
                      <w:noProof/>
                      <w:color w:val="1F3864"/>
                      <w:kern w:val="0"/>
                      <w:sz w:val="20"/>
                      <w:szCs w:val="20"/>
                      <w14:ligatures w14:val="none"/>
                    </w:rPr>
                  </w:pPr>
                  <w:r w:rsidRPr="004310DA">
                    <w:rPr>
                      <w:rFonts w:ascii="Arial" w:eastAsiaTheme="minorEastAsia" w:hAnsi="Arial" w:cs="Arial"/>
                      <w:b/>
                      <w:bCs/>
                      <w:noProof/>
                      <w:color w:val="1F3864"/>
                      <w:kern w:val="0"/>
                      <w:sz w:val="20"/>
                      <w:szCs w:val="20"/>
                      <w14:ligatures w14:val="none"/>
                    </w:rPr>
                    <w:t>Michael Halpern</w:t>
                  </w:r>
                  <w:r w:rsidRPr="004310DA">
                    <w:rPr>
                      <w:rFonts w:ascii="Arial" w:eastAsiaTheme="minorEastAsia" w:hAnsi="Arial" w:cs="Arial"/>
                      <w:b/>
                      <w:bCs/>
                      <w:noProof/>
                      <w:color w:val="1F3864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4310DA">
                    <w:rPr>
                      <w:rFonts w:ascii="Arial" w:eastAsiaTheme="minorEastAsia" w:hAnsi="Arial" w:cs="Arial"/>
                      <w:noProof/>
                      <w:color w:val="1F3864"/>
                      <w:kern w:val="0"/>
                      <w:sz w:val="20"/>
                      <w:szCs w:val="20"/>
                      <w14:ligatures w14:val="none"/>
                    </w:rPr>
                    <w:t>President</w:t>
                  </w:r>
                </w:p>
              </w:tc>
            </w:tr>
          </w:tbl>
          <w:p w14:paraId="3705545E" w14:textId="77777777" w:rsidR="00D64338" w:rsidRPr="004310DA" w:rsidRDefault="00D64338">
            <w:pPr>
              <w:rPr>
                <w:sz w:val="20"/>
                <w:szCs w:val="20"/>
              </w:rPr>
            </w:pPr>
          </w:p>
        </w:tc>
      </w:tr>
      <w:tr w:rsidR="00D64338" w:rsidRPr="004310DA" w14:paraId="00DD8950" w14:textId="77777777" w:rsidTr="00D64338">
        <w:trPr>
          <w:trHeight w:val="10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A039FE" w14:textId="77777777" w:rsidR="00D64338" w:rsidRPr="004310DA" w:rsidRDefault="00D64338">
            <w:pPr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D64338" w:rsidRPr="004310DA" w14:paraId="0FE78577" w14:textId="77777777" w:rsidTr="00D64338">
        <w:trPr>
          <w:trHeight w:val="10"/>
          <w:tblCellSpacing w:w="0" w:type="dxa"/>
        </w:trPr>
        <w:tc>
          <w:tcPr>
            <w:tcW w:w="6300" w:type="dxa"/>
            <w:tcBorders>
              <w:top w:val="nil"/>
              <w:left w:val="nil"/>
              <w:bottom w:val="single" w:sz="8" w:space="0" w:color="4C5868"/>
              <w:right w:val="nil"/>
            </w:tcBorders>
            <w:shd w:val="clear" w:color="auto" w:fill="FFFFFF"/>
            <w:vAlign w:val="center"/>
            <w:hideMark/>
          </w:tcPr>
          <w:p w14:paraId="4DE972D7" w14:textId="77777777" w:rsidR="00D64338" w:rsidRPr="004310DA" w:rsidRDefault="00D64338">
            <w:pPr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D64338" w:rsidRPr="004310DA" w14:paraId="234ADC36" w14:textId="77777777" w:rsidTr="00D6433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F7DFA0" w14:textId="77777777" w:rsidR="00D64338" w:rsidRPr="004310DA" w:rsidRDefault="00D64338">
            <w:pPr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D64338" w:rsidRPr="004310DA" w14:paraId="741D0991" w14:textId="77777777" w:rsidTr="00D643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314"/>
            </w:tblGrid>
            <w:tr w:rsidR="00D64338" w:rsidRPr="004310DA" w14:paraId="1E5AA720" w14:textId="77777777">
              <w:trPr>
                <w:trHeight w:val="250"/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"/>
                  </w:tblGrid>
                  <w:tr w:rsidR="00D64338" w:rsidRPr="004310DA" w14:paraId="28D5A42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09EECA5A" w14:textId="6D311691" w:rsidR="00D64338" w:rsidRPr="004310DA" w:rsidRDefault="00D64338">
                        <w:pPr>
                          <w:spacing w:line="252" w:lineRule="auto"/>
                          <w:rPr>
                            <w:rFonts w:ascii="Arial" w:eastAsia="Calibri" w:hAnsi="Arial" w:cs="Arial"/>
                            <w:noProof/>
                            <w:color w:val="1F3864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310DA">
                          <w:rPr>
                            <w:rFonts w:ascii="Arial" w:eastAsiaTheme="minorEastAsia" w:hAnsi="Arial" w:cs="Arial"/>
                            <w:noProof/>
                            <w:color w:val="1F3864"/>
                            <w:kern w:val="0"/>
                            <w:sz w:val="20"/>
                            <w:szCs w:val="20"/>
                            <w:shd w:val="clear" w:color="auto" w:fill="4C5868"/>
                          </w:rPr>
                          <w:drawing>
                            <wp:inline distT="0" distB="0" distL="0" distR="0" wp14:anchorId="2CCF6710" wp14:editId="24911721">
                              <wp:extent cx="120650" cy="120650"/>
                              <wp:effectExtent l="0" t="0" r="0" b="0"/>
                              <wp:docPr id="822409704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650" cy="12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707549F" w14:textId="77777777" w:rsidR="00D64338" w:rsidRPr="004310DA" w:rsidRDefault="00D643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6132E" w14:textId="77777777" w:rsidR="00D64338" w:rsidRPr="004310DA" w:rsidRDefault="00000000">
                  <w:pPr>
                    <w:spacing w:line="252" w:lineRule="auto"/>
                    <w:rPr>
                      <w:rFonts w:ascii="Arial" w:eastAsia="Calibri" w:hAnsi="Arial" w:cs="Arial"/>
                      <w:noProof/>
                      <w:color w:val="1F3864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9" w:history="1">
                    <w:r w:rsidR="00D64338" w:rsidRPr="004310DA">
                      <w:rPr>
                        <w:rStyle w:val="Hyperlink"/>
                        <w:rFonts w:ascii="Arial" w:eastAsiaTheme="minorEastAsia" w:hAnsi="Arial" w:cs="Arial"/>
                        <w:noProof/>
                        <w:color w:val="1F3864"/>
                        <w:kern w:val="0"/>
                        <w:sz w:val="20"/>
                        <w:szCs w:val="20"/>
                        <w14:ligatures w14:val="none"/>
                      </w:rPr>
                      <w:t>866-MUNIREG</w:t>
                    </w:r>
                  </w:hyperlink>
                  <w:r w:rsidR="00D64338" w:rsidRPr="004310DA">
                    <w:rPr>
                      <w:rFonts w:ascii="Arial" w:eastAsiaTheme="minorEastAsia" w:hAnsi="Arial" w:cs="Arial"/>
                      <w:noProof/>
                      <w:color w:val="1F3864"/>
                      <w:kern w:val="0"/>
                      <w:sz w:val="20"/>
                      <w:szCs w:val="20"/>
                      <w14:ligatures w14:val="none"/>
                    </w:rPr>
                    <w:t> | </w:t>
                  </w:r>
                  <w:hyperlink r:id="rId10" w:history="1">
                    <w:r w:rsidR="00D64338" w:rsidRPr="004310DA">
                      <w:rPr>
                        <w:rStyle w:val="Hyperlink"/>
                        <w:rFonts w:ascii="Arial" w:eastAsiaTheme="minorEastAsia" w:hAnsi="Arial" w:cs="Arial"/>
                        <w:noProof/>
                        <w:color w:val="1F3864"/>
                        <w:kern w:val="0"/>
                        <w:sz w:val="20"/>
                        <w:szCs w:val="20"/>
                        <w14:ligatures w14:val="none"/>
                      </w:rPr>
                      <w:t>866-686-4734</w:t>
                    </w:r>
                  </w:hyperlink>
                </w:p>
              </w:tc>
            </w:tr>
            <w:tr w:rsidR="00D64338" w:rsidRPr="004310DA" w14:paraId="4C144193" w14:textId="77777777">
              <w:trPr>
                <w:trHeight w:val="250"/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"/>
                  </w:tblGrid>
                  <w:tr w:rsidR="00D64338" w:rsidRPr="004310DA" w14:paraId="6833514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16CA412E" w14:textId="4246F5FB" w:rsidR="00D64338" w:rsidRPr="004310DA" w:rsidRDefault="00D64338">
                        <w:pPr>
                          <w:spacing w:line="252" w:lineRule="auto"/>
                          <w:rPr>
                            <w:rFonts w:ascii="Arial" w:eastAsiaTheme="minorEastAsia" w:hAnsi="Arial" w:cs="Arial"/>
                            <w:noProof/>
                            <w:color w:val="1F3864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310DA">
                          <w:rPr>
                            <w:rFonts w:ascii="Arial" w:eastAsiaTheme="minorEastAsia" w:hAnsi="Arial" w:cs="Arial"/>
                            <w:noProof/>
                            <w:color w:val="1F3864"/>
                            <w:kern w:val="0"/>
                            <w:sz w:val="20"/>
                            <w:szCs w:val="20"/>
                            <w:shd w:val="clear" w:color="auto" w:fill="4C5868"/>
                          </w:rPr>
                          <w:drawing>
                            <wp:inline distT="0" distB="0" distL="0" distR="0" wp14:anchorId="2BB1A316" wp14:editId="374DE495">
                              <wp:extent cx="120650" cy="120650"/>
                              <wp:effectExtent l="0" t="0" r="0" b="0"/>
                              <wp:docPr id="48218094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650" cy="12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3C2339D" w14:textId="77777777" w:rsidR="00D64338" w:rsidRPr="004310DA" w:rsidRDefault="00D643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2DC90" w14:textId="77777777" w:rsidR="00D64338" w:rsidRPr="004310DA" w:rsidRDefault="00000000">
                  <w:pPr>
                    <w:spacing w:line="252" w:lineRule="auto"/>
                    <w:rPr>
                      <w:rFonts w:ascii="Arial" w:eastAsia="Calibri" w:hAnsi="Arial" w:cs="Arial"/>
                      <w:noProof/>
                      <w:color w:val="1F3864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2" w:history="1">
                    <w:r w:rsidR="00D64338" w:rsidRPr="004310DA">
                      <w:rPr>
                        <w:rStyle w:val="Hyperlink"/>
                        <w:rFonts w:ascii="Arial" w:eastAsiaTheme="minorEastAsia" w:hAnsi="Arial" w:cs="Arial"/>
                        <w:noProof/>
                        <w:color w:val="1F3864"/>
                        <w:kern w:val="0"/>
                        <w:sz w:val="20"/>
                        <w:szCs w:val="20"/>
                        <w14:ligatures w14:val="none"/>
                      </w:rPr>
                      <w:t>mhalpern@munireg.com</w:t>
                    </w:r>
                  </w:hyperlink>
                </w:p>
              </w:tc>
            </w:tr>
            <w:tr w:rsidR="00D64338" w:rsidRPr="004310DA" w14:paraId="28E455CD" w14:textId="77777777">
              <w:trPr>
                <w:trHeight w:val="250"/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"/>
                  </w:tblGrid>
                  <w:tr w:rsidR="00D64338" w:rsidRPr="004310DA" w14:paraId="543F745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40248642" w14:textId="4163D868" w:rsidR="00D64338" w:rsidRPr="004310DA" w:rsidRDefault="00D64338">
                        <w:pPr>
                          <w:spacing w:line="252" w:lineRule="auto"/>
                          <w:rPr>
                            <w:rFonts w:ascii="Arial" w:eastAsiaTheme="minorEastAsia" w:hAnsi="Arial" w:cs="Arial"/>
                            <w:noProof/>
                            <w:color w:val="1F3864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310DA">
                          <w:rPr>
                            <w:rFonts w:ascii="Arial" w:eastAsiaTheme="minorEastAsia" w:hAnsi="Arial" w:cs="Arial"/>
                            <w:noProof/>
                            <w:color w:val="1F3864"/>
                            <w:kern w:val="0"/>
                            <w:sz w:val="20"/>
                            <w:szCs w:val="20"/>
                            <w:shd w:val="clear" w:color="auto" w:fill="4C5868"/>
                          </w:rPr>
                          <w:drawing>
                            <wp:inline distT="0" distB="0" distL="0" distR="0" wp14:anchorId="58CA4767" wp14:editId="0764CEF2">
                              <wp:extent cx="120650" cy="120650"/>
                              <wp:effectExtent l="0" t="0" r="0" b="0"/>
                              <wp:docPr id="1181019146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650" cy="12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15FB3DB" w14:textId="77777777" w:rsidR="00D64338" w:rsidRPr="004310DA" w:rsidRDefault="00D643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3A881" w14:textId="77777777" w:rsidR="00D64338" w:rsidRPr="004310DA" w:rsidRDefault="00000000">
                  <w:pPr>
                    <w:spacing w:line="252" w:lineRule="auto"/>
                    <w:rPr>
                      <w:rFonts w:ascii="Arial" w:eastAsia="Calibri" w:hAnsi="Arial" w:cs="Arial"/>
                      <w:noProof/>
                      <w:color w:val="1F3864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4" w:history="1">
                    <w:r w:rsidR="00D64338" w:rsidRPr="004310DA">
                      <w:rPr>
                        <w:rStyle w:val="Hyperlink"/>
                        <w:rFonts w:ascii="Arial" w:eastAsiaTheme="minorEastAsia" w:hAnsi="Arial" w:cs="Arial"/>
                        <w:noProof/>
                        <w:color w:val="1F3864"/>
                        <w:kern w:val="0"/>
                        <w:sz w:val="20"/>
                        <w:szCs w:val="20"/>
                        <w14:ligatures w14:val="none"/>
                      </w:rPr>
                      <w:t>www.MuniReg.com</w:t>
                    </w:r>
                  </w:hyperlink>
                </w:p>
              </w:tc>
            </w:tr>
            <w:tr w:rsidR="00D64338" w:rsidRPr="004310DA" w14:paraId="1E2EEE8F" w14:textId="77777777">
              <w:trPr>
                <w:trHeight w:val="250"/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"/>
                  </w:tblGrid>
                  <w:tr w:rsidR="00D64338" w:rsidRPr="004310DA" w14:paraId="05DDCC9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5ABC538A" w14:textId="6A302FA1" w:rsidR="00D64338" w:rsidRPr="004310DA" w:rsidRDefault="00D64338">
                        <w:pPr>
                          <w:spacing w:line="252" w:lineRule="auto"/>
                          <w:rPr>
                            <w:rFonts w:ascii="Arial" w:eastAsiaTheme="minorEastAsia" w:hAnsi="Arial" w:cs="Arial"/>
                            <w:noProof/>
                            <w:color w:val="1F3864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310DA">
                          <w:rPr>
                            <w:rFonts w:ascii="Arial" w:eastAsiaTheme="minorEastAsia" w:hAnsi="Arial" w:cs="Arial"/>
                            <w:noProof/>
                            <w:color w:val="1F3864"/>
                            <w:kern w:val="0"/>
                            <w:sz w:val="20"/>
                            <w:szCs w:val="20"/>
                            <w:shd w:val="clear" w:color="auto" w:fill="4C5868"/>
                          </w:rPr>
                          <w:drawing>
                            <wp:inline distT="0" distB="0" distL="0" distR="0" wp14:anchorId="63220E09" wp14:editId="5EB53E9F">
                              <wp:extent cx="120650" cy="120650"/>
                              <wp:effectExtent l="0" t="0" r="0" b="0"/>
                              <wp:docPr id="1574648233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650" cy="12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8FDC50C" w14:textId="77777777" w:rsidR="00D64338" w:rsidRPr="004310DA" w:rsidRDefault="00D643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D2631" w14:textId="77777777" w:rsidR="00D64338" w:rsidRPr="004310DA" w:rsidRDefault="00D64338">
                  <w:pPr>
                    <w:spacing w:line="252" w:lineRule="auto"/>
                    <w:rPr>
                      <w:rFonts w:ascii="Arial" w:eastAsia="Calibri" w:hAnsi="Arial" w:cs="Arial"/>
                      <w:noProof/>
                      <w:color w:val="1F3864"/>
                      <w:kern w:val="0"/>
                      <w:sz w:val="20"/>
                      <w:szCs w:val="20"/>
                      <w14:ligatures w14:val="none"/>
                    </w:rPr>
                  </w:pPr>
                  <w:r w:rsidRPr="004310DA">
                    <w:rPr>
                      <w:rFonts w:ascii="Arial" w:eastAsiaTheme="minorEastAsia" w:hAnsi="Arial" w:cs="Arial"/>
                      <w:noProof/>
                      <w:color w:val="1F3864"/>
                      <w:kern w:val="0"/>
                      <w:sz w:val="20"/>
                      <w:szCs w:val="20"/>
                      <w14:ligatures w14:val="none"/>
                    </w:rPr>
                    <w:t>27900 Chagrin Blvd #225 Woodmere, OH 44112</w:t>
                  </w:r>
                </w:p>
              </w:tc>
            </w:tr>
          </w:tbl>
          <w:p w14:paraId="0982A5BD" w14:textId="77777777" w:rsidR="00D64338" w:rsidRPr="004310DA" w:rsidRDefault="00D64338">
            <w:pPr>
              <w:rPr>
                <w:sz w:val="20"/>
                <w:szCs w:val="20"/>
              </w:rPr>
            </w:pPr>
          </w:p>
        </w:tc>
      </w:tr>
      <w:tr w:rsidR="00D64338" w:rsidRPr="004310DA" w14:paraId="6CCE2F74" w14:textId="77777777" w:rsidTr="00D64338">
        <w:trPr>
          <w:trHeight w:val="8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04EB93" w14:textId="77777777" w:rsidR="00D64338" w:rsidRPr="004310DA" w:rsidRDefault="00D64338">
            <w:pPr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D64338" w:rsidRPr="004310DA" w14:paraId="2FD81C32" w14:textId="77777777" w:rsidTr="00D64338">
        <w:trPr>
          <w:trHeight w:val="10"/>
          <w:tblCellSpacing w:w="0" w:type="dxa"/>
        </w:trPr>
        <w:tc>
          <w:tcPr>
            <w:tcW w:w="6300" w:type="dxa"/>
            <w:tcBorders>
              <w:top w:val="nil"/>
              <w:left w:val="nil"/>
              <w:bottom w:val="single" w:sz="8" w:space="0" w:color="4C5868"/>
              <w:right w:val="nil"/>
            </w:tcBorders>
            <w:shd w:val="clear" w:color="auto" w:fill="FFFFFF"/>
            <w:vAlign w:val="center"/>
            <w:hideMark/>
          </w:tcPr>
          <w:p w14:paraId="3CFF792A" w14:textId="77777777" w:rsidR="00D64338" w:rsidRPr="004310DA" w:rsidRDefault="00D64338">
            <w:pPr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D64338" w:rsidRPr="004310DA" w14:paraId="77201470" w14:textId="77777777" w:rsidTr="00D6433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BE7F23" w14:textId="77777777" w:rsidR="00D64338" w:rsidRPr="004310DA" w:rsidRDefault="00D64338">
            <w:pPr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D64338" w:rsidRPr="004310DA" w14:paraId="6380D88B" w14:textId="77777777" w:rsidTr="00D643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3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6"/>
              <w:gridCol w:w="1414"/>
            </w:tblGrid>
            <w:tr w:rsidR="00D64338" w:rsidRPr="004310DA" w14:paraId="410004D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4BD0BC5" w14:textId="0D1BA127" w:rsidR="00D64338" w:rsidRPr="004310DA" w:rsidRDefault="00D64338">
                  <w:pPr>
                    <w:spacing w:line="252" w:lineRule="auto"/>
                    <w:rPr>
                      <w:rFonts w:ascii="Arial" w:eastAsia="Calibri" w:hAnsi="Arial" w:cs="Arial"/>
                      <w:noProof/>
                      <w:kern w:val="0"/>
                      <w:sz w:val="20"/>
                      <w:szCs w:val="20"/>
                      <w14:ligatures w14:val="none"/>
                    </w:rPr>
                  </w:pPr>
                  <w:r w:rsidRPr="004310DA">
                    <w:rPr>
                      <w:rFonts w:ascii="Arial" w:eastAsiaTheme="minorEastAsia" w:hAnsi="Arial" w:cs="Arial"/>
                      <w:noProof/>
                      <w:kern w:val="0"/>
                      <w:sz w:val="20"/>
                      <w:szCs w:val="20"/>
                    </w:rPr>
                    <w:lastRenderedPageBreak/>
                    <w:drawing>
                      <wp:inline distT="0" distB="0" distL="0" distR="0" wp14:anchorId="2C816462" wp14:editId="29DFE331">
                        <wp:extent cx="958850" cy="806450"/>
                        <wp:effectExtent l="0" t="0" r="0" b="0"/>
                        <wp:docPr id="600831701" name="Picture 5" descr="Logo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0831701" name="Picture 5" descr="Logo&#10;&#10;Description automatically generated with medium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850" cy="806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310DA">
                    <w:rPr>
                      <w:rFonts w:eastAsiaTheme="minorEastAsia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7AF4D9C4" wp14:editId="2F3FDB99">
                        <wp:extent cx="1905000" cy="615950"/>
                        <wp:effectExtent l="0" t="0" r="0" b="0"/>
                        <wp:docPr id="783996568" name="Picture 4" descr="MuniReg, LLC BBB Business Review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uniReg, LLC BBB Business Review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75"/>
                    <w:gridCol w:w="360"/>
                    <w:gridCol w:w="75"/>
                    <w:gridCol w:w="360"/>
                    <w:gridCol w:w="75"/>
                  </w:tblGrid>
                  <w:tr w:rsidR="00D64338" w:rsidRPr="004310DA" w14:paraId="44817643" w14:textId="77777777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793A72" w14:textId="28BEFFCA" w:rsidR="00D64338" w:rsidRPr="004310DA" w:rsidRDefault="00D64338">
                        <w:pPr>
                          <w:spacing w:line="252" w:lineRule="auto"/>
                          <w:jc w:val="right"/>
                          <w:rPr>
                            <w:rFonts w:ascii="Arial" w:eastAsiaTheme="minorEastAsia" w:hAnsi="Arial" w:cs="Arial"/>
                            <w:noProof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310DA">
                          <w:rPr>
                            <w:rFonts w:ascii="Arial" w:eastAsiaTheme="minorEastAsia" w:hAnsi="Arial" w:cs="Arial"/>
                            <w:noProof/>
                            <w:color w:val="0000FF"/>
                            <w:kern w:val="0"/>
                            <w:sz w:val="20"/>
                            <w:szCs w:val="20"/>
                            <w:shd w:val="clear" w:color="auto" w:fill="6D7E94"/>
                          </w:rPr>
                          <w:drawing>
                            <wp:inline distT="0" distB="0" distL="0" distR="0" wp14:anchorId="1E533010" wp14:editId="0B752953">
                              <wp:extent cx="228600" cy="228600"/>
                              <wp:effectExtent l="0" t="0" r="0" b="0"/>
                              <wp:docPr id="839718657" name="Picture 3" descr="facebook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facebook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14:paraId="5CC3CB87" w14:textId="77777777" w:rsidR="00D64338" w:rsidRPr="004310DA" w:rsidRDefault="00D64338">
                        <w:pPr>
                          <w:rPr>
                            <w:rFonts w:ascii="Arial" w:eastAsiaTheme="minorEastAsia" w:hAnsi="Arial" w:cs="Arial"/>
                            <w:noProof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63E903" w14:textId="0E7494E7" w:rsidR="00D64338" w:rsidRPr="004310DA" w:rsidRDefault="00D64338">
                        <w:pPr>
                          <w:spacing w:line="252" w:lineRule="auto"/>
                          <w:jc w:val="right"/>
                          <w:rPr>
                            <w:rFonts w:ascii="Arial" w:eastAsia="Calibri" w:hAnsi="Arial" w:cs="Arial"/>
                            <w:noProof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310DA">
                          <w:rPr>
                            <w:rFonts w:ascii="Arial" w:eastAsiaTheme="minorEastAsia" w:hAnsi="Arial" w:cs="Arial"/>
                            <w:noProof/>
                            <w:color w:val="0000FF"/>
                            <w:kern w:val="0"/>
                            <w:sz w:val="20"/>
                            <w:szCs w:val="20"/>
                            <w:shd w:val="clear" w:color="auto" w:fill="6D7E94"/>
                          </w:rPr>
                          <w:drawing>
                            <wp:inline distT="0" distB="0" distL="0" distR="0" wp14:anchorId="78679307" wp14:editId="047B6F97">
                              <wp:extent cx="228600" cy="228600"/>
                              <wp:effectExtent l="0" t="0" r="0" b="0"/>
                              <wp:docPr id="1589826272" name="Picture 2" descr="twitter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twitter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14:paraId="39EEF24E" w14:textId="77777777" w:rsidR="00D64338" w:rsidRPr="004310DA" w:rsidRDefault="00D64338">
                        <w:pPr>
                          <w:rPr>
                            <w:rFonts w:ascii="Arial" w:eastAsia="Calibri" w:hAnsi="Arial" w:cs="Arial"/>
                            <w:noProof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D2687D" w14:textId="0B6EB79F" w:rsidR="00D64338" w:rsidRPr="004310DA" w:rsidRDefault="00D64338">
                        <w:pPr>
                          <w:spacing w:line="252" w:lineRule="auto"/>
                          <w:jc w:val="right"/>
                          <w:rPr>
                            <w:rFonts w:ascii="Arial" w:eastAsia="Calibri" w:hAnsi="Arial" w:cs="Arial"/>
                            <w:noProof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310DA">
                          <w:rPr>
                            <w:rFonts w:ascii="Arial" w:eastAsiaTheme="minorEastAsia" w:hAnsi="Arial" w:cs="Arial"/>
                            <w:noProof/>
                            <w:color w:val="0000FF"/>
                            <w:kern w:val="0"/>
                            <w:sz w:val="20"/>
                            <w:szCs w:val="20"/>
                            <w:shd w:val="clear" w:color="auto" w:fill="6D7E94"/>
                          </w:rPr>
                          <w:drawing>
                            <wp:inline distT="0" distB="0" distL="0" distR="0" wp14:anchorId="38805CBE" wp14:editId="26970A31">
                              <wp:extent cx="228600" cy="228600"/>
                              <wp:effectExtent l="0" t="0" r="0" b="0"/>
                              <wp:docPr id="78467491" name="Picture 1" descr="linkedin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linkedin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14:paraId="08FF4833" w14:textId="77777777" w:rsidR="00D64338" w:rsidRPr="004310DA" w:rsidRDefault="00D64338">
                        <w:pPr>
                          <w:rPr>
                            <w:rFonts w:ascii="Arial" w:eastAsia="Calibri" w:hAnsi="Arial" w:cs="Arial"/>
                            <w:noProof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35A2C8D9" w14:textId="77777777" w:rsidR="00D64338" w:rsidRPr="004310DA" w:rsidRDefault="00D6433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8C7C943" w14:textId="77777777" w:rsidR="00D64338" w:rsidRPr="004310DA" w:rsidRDefault="00D64338">
            <w:pPr>
              <w:rPr>
                <w:sz w:val="20"/>
                <w:szCs w:val="20"/>
              </w:rPr>
            </w:pPr>
          </w:p>
        </w:tc>
      </w:tr>
    </w:tbl>
    <w:p w14:paraId="61003817" w14:textId="77777777" w:rsidR="00D64338" w:rsidRPr="004310DA" w:rsidRDefault="00D64338" w:rsidP="00D64338">
      <w:pPr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</w:p>
    <w:p w14:paraId="6074C443" w14:textId="77777777" w:rsidR="00D64338" w:rsidRPr="004310DA" w:rsidRDefault="00D64338" w:rsidP="00D64338">
      <w:pPr>
        <w:rPr>
          <w:rFonts w:eastAsiaTheme="minorEastAsia"/>
          <w:noProof/>
          <w:kern w:val="0"/>
          <w:sz w:val="20"/>
          <w:szCs w:val="20"/>
          <w14:ligatures w14:val="none"/>
        </w:rPr>
      </w:pPr>
    </w:p>
    <w:bookmarkEnd w:id="0"/>
    <w:p w14:paraId="7A9A2C7B" w14:textId="77777777" w:rsidR="00D64338" w:rsidRPr="004310DA" w:rsidRDefault="00D64338" w:rsidP="00D64338">
      <w:pPr>
        <w:rPr>
          <w:sz w:val="20"/>
          <w:szCs w:val="20"/>
        </w:rPr>
      </w:pPr>
    </w:p>
    <w:p w14:paraId="1DC91BF4" w14:textId="77777777" w:rsidR="00D64338" w:rsidRPr="004310DA" w:rsidRDefault="00D64338" w:rsidP="00D83726">
      <w:pPr>
        <w:spacing w:after="0" w:line="240" w:lineRule="auto"/>
        <w:textAlignment w:val="baseline"/>
        <w:rPr>
          <w:rFonts w:asciiTheme="minorBidi" w:hAnsiTheme="minorBidi"/>
          <w:sz w:val="20"/>
          <w:szCs w:val="20"/>
        </w:rPr>
      </w:pPr>
    </w:p>
    <w:sectPr w:rsidR="00D64338" w:rsidRPr="004310DA" w:rsidSect="005645AE">
      <w:footerReference w:type="default" r:id="rId2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0002" w14:textId="77777777" w:rsidR="008738AE" w:rsidRDefault="008738AE" w:rsidP="006A756C">
      <w:pPr>
        <w:spacing w:after="0" w:line="240" w:lineRule="auto"/>
      </w:pPr>
      <w:r>
        <w:separator/>
      </w:r>
    </w:p>
  </w:endnote>
  <w:endnote w:type="continuationSeparator" w:id="0">
    <w:p w14:paraId="7E34CC6F" w14:textId="77777777" w:rsidR="008738AE" w:rsidRDefault="008738AE" w:rsidP="006A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337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13178" w14:textId="7DBE51EA" w:rsidR="00F42BBD" w:rsidRDefault="00F42B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A5E6A0" w14:textId="77777777" w:rsidR="00660722" w:rsidRDefault="00660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6EC1" w14:textId="77777777" w:rsidR="008738AE" w:rsidRDefault="008738AE" w:rsidP="006A756C">
      <w:pPr>
        <w:spacing w:after="0" w:line="240" w:lineRule="auto"/>
      </w:pPr>
      <w:r>
        <w:separator/>
      </w:r>
    </w:p>
  </w:footnote>
  <w:footnote w:type="continuationSeparator" w:id="0">
    <w:p w14:paraId="552F949E" w14:textId="77777777" w:rsidR="008738AE" w:rsidRDefault="008738AE" w:rsidP="006A756C">
      <w:pPr>
        <w:spacing w:after="0" w:line="240" w:lineRule="auto"/>
      </w:pPr>
      <w:r>
        <w:continuationSeparator/>
      </w:r>
    </w:p>
  </w:footnote>
  <w:footnote w:id="1">
    <w:p w14:paraId="71D31368" w14:textId="22C14CC2" w:rsidR="00420C92" w:rsidRDefault="00420C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22A6D">
          <w:rPr>
            <w:rStyle w:val="Hyperlink"/>
          </w:rPr>
          <w:t>https://www.munireg.com/how-do-banks-determine-define-vacant-or-abandoned-property/</w:t>
        </w:r>
      </w:hyperlink>
    </w:p>
    <w:p w14:paraId="3A0F3A34" w14:textId="77777777" w:rsidR="00420C92" w:rsidRDefault="00420C92">
      <w:pPr>
        <w:pStyle w:val="FootnoteText"/>
      </w:pPr>
    </w:p>
  </w:footnote>
  <w:footnote w:id="2">
    <w:p w14:paraId="55D3E72C" w14:textId="6E7039B2" w:rsidR="006A756C" w:rsidRDefault="006A75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22A6D">
          <w:rPr>
            <w:rStyle w:val="Hyperlink"/>
          </w:rPr>
          <w:t>https://www.joplinglobe.com/news/business/john-newby-allowing-blight-in-name-of-freedom-damaging-communities/article_10310432-5ec7-11ed-b8ff-9b0244fbfb7e.html</w:t>
        </w:r>
      </w:hyperlink>
    </w:p>
    <w:p w14:paraId="1630310D" w14:textId="77777777" w:rsidR="006A756C" w:rsidRDefault="006A756C">
      <w:pPr>
        <w:pStyle w:val="FootnoteText"/>
      </w:pPr>
    </w:p>
  </w:footnote>
  <w:footnote w:id="3">
    <w:p w14:paraId="79491F8D" w14:textId="75F71121" w:rsidR="00510857" w:rsidRDefault="005108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022A6D">
          <w:rPr>
            <w:rStyle w:val="Hyperlink"/>
          </w:rPr>
          <w:t>https://www.munireg.com/neighbors-of-blighted-properties-have-same-rights-as-owners-of-the-blighted-properties/</w:t>
        </w:r>
      </w:hyperlink>
    </w:p>
    <w:p w14:paraId="03A7F301" w14:textId="77777777" w:rsidR="00510857" w:rsidRDefault="00510857">
      <w:pPr>
        <w:pStyle w:val="FootnoteText"/>
      </w:pPr>
    </w:p>
  </w:footnote>
  <w:footnote w:id="4">
    <w:p w14:paraId="6CC2CD58" w14:textId="65BE93D6" w:rsidR="00F35293" w:rsidRDefault="00F352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022A6D">
          <w:rPr>
            <w:rStyle w:val="Hyperlink"/>
          </w:rPr>
          <w:t>https://www.munireg.com/challenges-to-nuisance-property-legislation/</w:t>
        </w:r>
      </w:hyperlink>
    </w:p>
    <w:p w14:paraId="7C307CD0" w14:textId="77777777" w:rsidR="00F35293" w:rsidRDefault="00F35293">
      <w:pPr>
        <w:pStyle w:val="FootnoteText"/>
      </w:pPr>
    </w:p>
  </w:footnote>
  <w:footnote w:id="5">
    <w:p w14:paraId="2448725E" w14:textId="77777777" w:rsidR="004310DA" w:rsidRDefault="004310DA" w:rsidP="004310DA">
      <w:r>
        <w:rPr>
          <w:rStyle w:val="FootnoteReference"/>
        </w:rPr>
        <w:footnoteRef/>
      </w:r>
      <w:r>
        <w:t xml:space="preserve"> </w:t>
      </w:r>
      <w:hyperlink r:id="rId5" w:history="1">
        <w:r>
          <w:rPr>
            <w:rStyle w:val="Hyperlink"/>
          </w:rPr>
          <w:t>https://www.munireg.com/understanding-the-true-costs-of-abandoned-properties-how-maintenance-can-make-a-difference/</w:t>
        </w:r>
      </w:hyperlink>
    </w:p>
    <w:p w14:paraId="5CEB9176" w14:textId="0A583AAC" w:rsidR="004310DA" w:rsidRDefault="004310DA">
      <w:pPr>
        <w:pStyle w:val="FootnoteText"/>
      </w:pPr>
    </w:p>
  </w:footnote>
  <w:footnote w:id="6">
    <w:p w14:paraId="3AEE4F6B" w14:textId="458914AE" w:rsidR="00660722" w:rsidRDefault="006607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022A6D">
          <w:rPr>
            <w:rStyle w:val="Hyperlink"/>
          </w:rPr>
          <w:t>https://www.nfpa.org/News-and-Research/Data-research-and-tools/Building-and-Life-Safety/Vacant-Building-Fires</w:t>
        </w:r>
      </w:hyperlink>
    </w:p>
    <w:p w14:paraId="2A3D2AE8" w14:textId="77777777" w:rsidR="00660722" w:rsidRDefault="00660722">
      <w:pPr>
        <w:pStyle w:val="FootnoteText"/>
      </w:pPr>
    </w:p>
  </w:footnote>
  <w:footnote w:id="7">
    <w:p w14:paraId="406A0A86" w14:textId="73BAD974" w:rsidR="00660722" w:rsidRDefault="006607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022A6D">
          <w:rPr>
            <w:rStyle w:val="Hyperlink"/>
          </w:rPr>
          <w:t>https://www.columbian.com/news/2022/feb/10/fatal-fires-in-st-louis-baltimore-expose-vacant-home-risks/</w:t>
        </w:r>
      </w:hyperlink>
    </w:p>
    <w:p w14:paraId="476FFD57" w14:textId="77777777" w:rsidR="00660722" w:rsidRDefault="00660722">
      <w:pPr>
        <w:pStyle w:val="FootnoteText"/>
      </w:pPr>
    </w:p>
  </w:footnote>
  <w:footnote w:id="8">
    <w:p w14:paraId="3C84FBE6" w14:textId="4D6DA6F8" w:rsidR="004310DA" w:rsidRDefault="004310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5E44CA">
          <w:rPr>
            <w:rStyle w:val="Hyperlink"/>
          </w:rPr>
          <w:t>https://www.nfpa.org/News-and-Research/Data-research-and-tools/Building-and-Life-Safety/Vacant-Building-Fires</w:t>
        </w:r>
      </w:hyperlink>
    </w:p>
    <w:p w14:paraId="3D173A5D" w14:textId="77777777" w:rsidR="004310DA" w:rsidRDefault="004310DA">
      <w:pPr>
        <w:pStyle w:val="FootnoteText"/>
      </w:pPr>
    </w:p>
  </w:footnote>
  <w:footnote w:id="9">
    <w:p w14:paraId="208E7C72" w14:textId="08E31187" w:rsidR="004310DA" w:rsidRDefault="004310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5E44CA">
          <w:rPr>
            <w:rStyle w:val="Hyperlink"/>
          </w:rPr>
          <w:t>https://www.munireg.com/lsu-department-of-sociology-study-linking-blight-and-homicide/</w:t>
        </w:r>
      </w:hyperlink>
    </w:p>
    <w:p w14:paraId="6F4BC3DE" w14:textId="77777777" w:rsidR="004310DA" w:rsidRDefault="004310DA">
      <w:pPr>
        <w:pStyle w:val="FootnoteText"/>
      </w:pPr>
    </w:p>
  </w:footnote>
  <w:footnote w:id="10">
    <w:p w14:paraId="126AB13D" w14:textId="53B2B39F" w:rsidR="00420C92" w:rsidRDefault="00420C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0" w:history="1">
        <w:r w:rsidRPr="00022A6D">
          <w:rPr>
            <w:rStyle w:val="Hyperlink"/>
          </w:rPr>
          <w:t>https://www.munireg.com/virginia-commonwealth-university-study-negligent-landlords-predictor-of-neighborhood-violence/</w:t>
        </w:r>
      </w:hyperlink>
    </w:p>
    <w:p w14:paraId="52669180" w14:textId="77777777" w:rsidR="00420C92" w:rsidRDefault="00420C92">
      <w:pPr>
        <w:pStyle w:val="FootnoteText"/>
      </w:pPr>
    </w:p>
  </w:footnote>
  <w:footnote w:id="11">
    <w:p w14:paraId="515FBF8E" w14:textId="24B71785" w:rsidR="00D8727F" w:rsidRDefault="00D872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1" w:history="1">
        <w:r w:rsidRPr="00022A6D">
          <w:rPr>
            <w:rStyle w:val="Hyperlink"/>
          </w:rPr>
          <w:t>https://www.munireg.com/lsu-study-blight-increases-public-health-risk-from-mosquito-borne-diseases/</w:t>
        </w:r>
      </w:hyperlink>
    </w:p>
    <w:p w14:paraId="560BCDF4" w14:textId="77777777" w:rsidR="00D8727F" w:rsidRDefault="00D8727F">
      <w:pPr>
        <w:pStyle w:val="FootnoteText"/>
      </w:pPr>
    </w:p>
  </w:footnote>
  <w:footnote w:id="12">
    <w:p w14:paraId="675F83D8" w14:textId="78EB45D7" w:rsidR="00F419CB" w:rsidRDefault="00F419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2" w:history="1">
        <w:r w:rsidRPr="00022A6D">
          <w:rPr>
            <w:rStyle w:val="Hyperlink"/>
          </w:rPr>
          <w:t>https://www.munireg.com/journal-of-behavioral-medicine-urban-building-demolitions-firearm-violence-and-drug-crime/</w:t>
        </w:r>
      </w:hyperlink>
    </w:p>
    <w:p w14:paraId="62A47CD1" w14:textId="77777777" w:rsidR="00F419CB" w:rsidRDefault="00F419CB">
      <w:pPr>
        <w:pStyle w:val="FootnoteText"/>
      </w:pPr>
    </w:p>
  </w:footnote>
  <w:footnote w:id="13">
    <w:p w14:paraId="2A7CA517" w14:textId="1AB2922C" w:rsidR="00F419CB" w:rsidRDefault="00F419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3" w:history="1">
        <w:r w:rsidRPr="00022A6D">
          <w:rPr>
            <w:rStyle w:val="Hyperlink"/>
          </w:rPr>
          <w:t>https://www.munireg.com/study-determines-blight-remediation-impacts-firearm-violence-in-urban-neighborhoods/</w:t>
        </w:r>
      </w:hyperlink>
    </w:p>
    <w:p w14:paraId="7EFAFEA1" w14:textId="77777777" w:rsidR="00F419CB" w:rsidRDefault="00F419CB">
      <w:pPr>
        <w:pStyle w:val="FootnoteText"/>
      </w:pPr>
    </w:p>
  </w:footnote>
  <w:footnote w:id="14">
    <w:p w14:paraId="0371AFCC" w14:textId="4D8B234A" w:rsidR="00F419CB" w:rsidRDefault="00F419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4" w:history="1">
        <w:r w:rsidRPr="00022A6D">
          <w:rPr>
            <w:rStyle w:val="Hyperlink"/>
          </w:rPr>
          <w:t>https://www.munireg.com/jama-study-abandoned-house-repairs-reduced-nearby-gun-violence/</w:t>
        </w:r>
      </w:hyperlink>
    </w:p>
    <w:p w14:paraId="5C8F9590" w14:textId="77777777" w:rsidR="00F419CB" w:rsidRDefault="00F419CB">
      <w:pPr>
        <w:pStyle w:val="FootnoteText"/>
      </w:pPr>
    </w:p>
  </w:footnote>
  <w:footnote w:id="15">
    <w:p w14:paraId="0DAF3FC6" w14:textId="2B2E452F" w:rsidR="004310DA" w:rsidRDefault="004310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5" w:history="1">
        <w:r w:rsidRPr="005E44CA">
          <w:rPr>
            <w:rStyle w:val="Hyperlink"/>
          </w:rPr>
          <w:t>https://www.munireg.com/jama-study-municipally-funded-house-repairs-and-crime-rates/</w:t>
        </w:r>
      </w:hyperlink>
    </w:p>
    <w:p w14:paraId="7438B22D" w14:textId="77777777" w:rsidR="004310DA" w:rsidRDefault="004310DA">
      <w:pPr>
        <w:pStyle w:val="FootnoteText"/>
      </w:pPr>
    </w:p>
  </w:footnote>
  <w:footnote w:id="16">
    <w:p w14:paraId="70506A61" w14:textId="0FA317B7" w:rsidR="004310DA" w:rsidRDefault="004310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6" w:history="1">
        <w:r w:rsidRPr="005E44CA">
          <w:rPr>
            <w:rStyle w:val="Hyperlink"/>
          </w:rPr>
          <w:t>https://www.munireg.com/fixing-up-after-tearing-down-the-impact-of-demolitions-on-residential-investment/</w:t>
        </w:r>
      </w:hyperlink>
    </w:p>
    <w:p w14:paraId="6397F16C" w14:textId="77777777" w:rsidR="004310DA" w:rsidRDefault="004310D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0E15"/>
    <w:multiLevelType w:val="multilevel"/>
    <w:tmpl w:val="BC86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7611D"/>
    <w:multiLevelType w:val="multilevel"/>
    <w:tmpl w:val="9D54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85AD8"/>
    <w:multiLevelType w:val="multilevel"/>
    <w:tmpl w:val="ACC8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D5A2E"/>
    <w:multiLevelType w:val="multilevel"/>
    <w:tmpl w:val="C310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672F6"/>
    <w:multiLevelType w:val="hybridMultilevel"/>
    <w:tmpl w:val="0F04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96894"/>
    <w:multiLevelType w:val="hybridMultilevel"/>
    <w:tmpl w:val="9F80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D34F5"/>
    <w:multiLevelType w:val="multilevel"/>
    <w:tmpl w:val="D218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66109"/>
    <w:multiLevelType w:val="multilevel"/>
    <w:tmpl w:val="CF62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92942"/>
    <w:multiLevelType w:val="multilevel"/>
    <w:tmpl w:val="115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56556C"/>
    <w:multiLevelType w:val="hybridMultilevel"/>
    <w:tmpl w:val="D4D22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4526248">
    <w:abstractNumId w:val="6"/>
  </w:num>
  <w:num w:numId="2" w16cid:durableId="439029918">
    <w:abstractNumId w:val="3"/>
  </w:num>
  <w:num w:numId="3" w16cid:durableId="1128933113">
    <w:abstractNumId w:val="9"/>
  </w:num>
  <w:num w:numId="4" w16cid:durableId="104809197">
    <w:abstractNumId w:val="4"/>
  </w:num>
  <w:num w:numId="5" w16cid:durableId="2130969242">
    <w:abstractNumId w:val="8"/>
  </w:num>
  <w:num w:numId="6" w16cid:durableId="322778409">
    <w:abstractNumId w:val="2"/>
  </w:num>
  <w:num w:numId="7" w16cid:durableId="1887330718">
    <w:abstractNumId w:val="1"/>
  </w:num>
  <w:num w:numId="8" w16cid:durableId="91096956">
    <w:abstractNumId w:val="0"/>
  </w:num>
  <w:num w:numId="9" w16cid:durableId="519130401">
    <w:abstractNumId w:val="7"/>
  </w:num>
  <w:num w:numId="10" w16cid:durableId="1937327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26"/>
    <w:rsid w:val="001426E1"/>
    <w:rsid w:val="001446EB"/>
    <w:rsid w:val="00167925"/>
    <w:rsid w:val="00185D9D"/>
    <w:rsid w:val="002759C3"/>
    <w:rsid w:val="002E6B4F"/>
    <w:rsid w:val="002F4EEF"/>
    <w:rsid w:val="0033265E"/>
    <w:rsid w:val="00336831"/>
    <w:rsid w:val="003D761E"/>
    <w:rsid w:val="00420C92"/>
    <w:rsid w:val="004310DA"/>
    <w:rsid w:val="00474FB9"/>
    <w:rsid w:val="00510857"/>
    <w:rsid w:val="005645AE"/>
    <w:rsid w:val="00660722"/>
    <w:rsid w:val="006A756C"/>
    <w:rsid w:val="006F7EB7"/>
    <w:rsid w:val="007254D5"/>
    <w:rsid w:val="008738AE"/>
    <w:rsid w:val="0088616F"/>
    <w:rsid w:val="00AA0752"/>
    <w:rsid w:val="00B95514"/>
    <w:rsid w:val="00C13B92"/>
    <w:rsid w:val="00D64338"/>
    <w:rsid w:val="00D83726"/>
    <w:rsid w:val="00D8727F"/>
    <w:rsid w:val="00F35293"/>
    <w:rsid w:val="00F419CB"/>
    <w:rsid w:val="00F4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A5743"/>
  <w15:chartTrackingRefBased/>
  <w15:docId w15:val="{E5E369CD-A143-49EC-96FB-51CA01B8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7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72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75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5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756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19C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419CB"/>
    <w:rPr>
      <w:i/>
      <w:iCs/>
    </w:rPr>
  </w:style>
  <w:style w:type="paragraph" w:styleId="NormalWeb">
    <w:name w:val="Normal (Web)"/>
    <w:basedOn w:val="Normal"/>
    <w:uiPriority w:val="99"/>
    <w:unhideWhenUsed/>
    <w:rsid w:val="0066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60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722"/>
  </w:style>
  <w:style w:type="paragraph" w:styleId="Footer">
    <w:name w:val="footer"/>
    <w:basedOn w:val="Normal"/>
    <w:link w:val="FooterChar"/>
    <w:uiPriority w:val="99"/>
    <w:unhideWhenUsed/>
    <w:rsid w:val="00660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twitter.com/RegMuni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mhalpern@munireg.com" TargetMode="External"/><Relationship Id="rId17" Type="http://schemas.openxmlformats.org/officeDocument/2006/relationships/hyperlink" Target="https://www.bbb.org/us/oh/cleveland-heights/profile/property-preservation/munireg-llc-0312-92051747/#sealclick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www.linkedin.com/company/munireg/" TargetMode="External"/><Relationship Id="rId10" Type="http://schemas.openxmlformats.org/officeDocument/2006/relationships/hyperlink" Target="tel:866-686-4734" TargetMode="External"/><Relationship Id="rId19" Type="http://schemas.openxmlformats.org/officeDocument/2006/relationships/hyperlink" Target="https://www.facebook.com/MuniRegL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66-686-4734" TargetMode="External"/><Relationship Id="rId14" Type="http://schemas.openxmlformats.org/officeDocument/2006/relationships/hyperlink" Target="https://www.munireg.com/" TargetMode="Externa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pa.org/News-and-Research/Data-research-and-tools/Building-and-Life-Safety/Vacant-Building-Fires" TargetMode="External"/><Relationship Id="rId13" Type="http://schemas.openxmlformats.org/officeDocument/2006/relationships/hyperlink" Target="https://www.munireg.com/study-determines-blight-remediation-impacts-firearm-violence-in-urban-neighborhoods/" TargetMode="External"/><Relationship Id="rId3" Type="http://schemas.openxmlformats.org/officeDocument/2006/relationships/hyperlink" Target="https://www.munireg.com/neighbors-of-blighted-properties-have-same-rights-as-owners-of-the-blighted-properties/" TargetMode="External"/><Relationship Id="rId7" Type="http://schemas.openxmlformats.org/officeDocument/2006/relationships/hyperlink" Target="https://www.columbian.com/news/2022/feb/10/fatal-fires-in-st-louis-baltimore-expose-vacant-home-risks/" TargetMode="External"/><Relationship Id="rId12" Type="http://schemas.openxmlformats.org/officeDocument/2006/relationships/hyperlink" Target="https://www.munireg.com/journal-of-behavioral-medicine-urban-building-demolitions-firearm-violence-and-drug-crime/" TargetMode="External"/><Relationship Id="rId2" Type="http://schemas.openxmlformats.org/officeDocument/2006/relationships/hyperlink" Target="https://www.joplinglobe.com/news/business/john-newby-allowing-blight-in-name-of-freedom-damaging-communities/article_10310432-5ec7-11ed-b8ff-9b0244fbfb7e.html" TargetMode="External"/><Relationship Id="rId16" Type="http://schemas.openxmlformats.org/officeDocument/2006/relationships/hyperlink" Target="https://www.munireg.com/fixing-up-after-tearing-down-the-impact-of-demolitions-on-residential-investment/" TargetMode="External"/><Relationship Id="rId1" Type="http://schemas.openxmlformats.org/officeDocument/2006/relationships/hyperlink" Target="https://www.munireg.com/how-do-banks-determine-define-vacant-or-abandoned-property/" TargetMode="External"/><Relationship Id="rId6" Type="http://schemas.openxmlformats.org/officeDocument/2006/relationships/hyperlink" Target="https://www.nfpa.org/News-and-Research/Data-research-and-tools/Building-and-Life-Safety/Vacant-Building-Fires" TargetMode="External"/><Relationship Id="rId11" Type="http://schemas.openxmlformats.org/officeDocument/2006/relationships/hyperlink" Target="https://www.munireg.com/lsu-study-blight-increases-public-health-risk-from-mosquito-borne-diseases/" TargetMode="External"/><Relationship Id="rId5" Type="http://schemas.openxmlformats.org/officeDocument/2006/relationships/hyperlink" Target="https://www.munireg.com/understanding-the-true-costs-of-abandoned-properties-how-maintenance-can-make-a-difference/" TargetMode="External"/><Relationship Id="rId15" Type="http://schemas.openxmlformats.org/officeDocument/2006/relationships/hyperlink" Target="https://www.munireg.com/jama-study-municipally-funded-house-repairs-and-crime-rates/" TargetMode="External"/><Relationship Id="rId10" Type="http://schemas.openxmlformats.org/officeDocument/2006/relationships/hyperlink" Target="https://www.munireg.com/virginia-commonwealth-university-study-negligent-landlords-predictor-of-neighborhood-violence/" TargetMode="External"/><Relationship Id="rId4" Type="http://schemas.openxmlformats.org/officeDocument/2006/relationships/hyperlink" Target="https://www.munireg.com/challenges-to-nuisance-property-legislation/" TargetMode="External"/><Relationship Id="rId9" Type="http://schemas.openxmlformats.org/officeDocument/2006/relationships/hyperlink" Target="https://www.munireg.com/lsu-department-of-sociology-study-linking-blight-and-homicide/" TargetMode="External"/><Relationship Id="rId14" Type="http://schemas.openxmlformats.org/officeDocument/2006/relationships/hyperlink" Target="https://www.munireg.com/jama-study-abandoned-house-repairs-reduced-nearby-gun-viol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Halpern</dc:creator>
  <cp:keywords/>
  <dc:description/>
  <cp:lastModifiedBy>Michael Halpern</cp:lastModifiedBy>
  <cp:revision>2</cp:revision>
  <dcterms:created xsi:type="dcterms:W3CDTF">2023-12-15T20:20:00Z</dcterms:created>
  <dcterms:modified xsi:type="dcterms:W3CDTF">2023-12-15T20:20:00Z</dcterms:modified>
</cp:coreProperties>
</file>