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4E31A" w14:textId="77777777" w:rsidR="00725BBD" w:rsidRPr="00725BBD" w:rsidRDefault="00725BBD" w:rsidP="00725BBD">
      <w:pPr>
        <w:shd w:val="clear" w:color="auto" w:fill="FFFFFF"/>
        <w:spacing w:before="180" w:after="180" w:line="240" w:lineRule="atLeast"/>
        <w:outlineLvl w:val="0"/>
        <w:rPr>
          <w:rFonts w:ascii="Oswald" w:eastAsia="Times New Roman" w:hAnsi="Oswald" w:cs="Times New Roman"/>
          <w:color w:val="1C1C1C"/>
          <w:spacing w:val="10"/>
          <w:kern w:val="36"/>
          <w:sz w:val="72"/>
          <w:szCs w:val="72"/>
        </w:rPr>
      </w:pPr>
      <w:r w:rsidRPr="00725BBD">
        <w:rPr>
          <w:rFonts w:ascii="Oswald" w:eastAsia="Times New Roman" w:hAnsi="Oswald" w:cs="Times New Roman"/>
          <w:color w:val="1C1C1C"/>
          <w:spacing w:val="10"/>
          <w:kern w:val="36"/>
          <w:sz w:val="72"/>
          <w:szCs w:val="72"/>
        </w:rPr>
        <w:fldChar w:fldCharType="begin"/>
      </w:r>
      <w:r w:rsidRPr="00725BBD">
        <w:rPr>
          <w:rFonts w:ascii="Oswald" w:eastAsia="Times New Roman" w:hAnsi="Oswald" w:cs="Times New Roman"/>
          <w:color w:val="1C1C1C"/>
          <w:spacing w:val="10"/>
          <w:kern w:val="36"/>
          <w:sz w:val="72"/>
          <w:szCs w:val="72"/>
        </w:rPr>
        <w:instrText xml:space="preserve"> HYPERLINK "https://www.greaterohio.org/blog/2018/9/17/the-truths-and-myths-about-vacant-property-registries" </w:instrText>
      </w:r>
      <w:r w:rsidRPr="00725BBD">
        <w:rPr>
          <w:rFonts w:ascii="Oswald" w:eastAsia="Times New Roman" w:hAnsi="Oswald" w:cs="Times New Roman"/>
          <w:color w:val="1C1C1C"/>
          <w:spacing w:val="10"/>
          <w:kern w:val="36"/>
          <w:sz w:val="72"/>
          <w:szCs w:val="72"/>
        </w:rPr>
        <w:fldChar w:fldCharType="separate"/>
      </w:r>
      <w:r w:rsidRPr="00725BBD">
        <w:rPr>
          <w:rFonts w:ascii="Oswald" w:eastAsia="Times New Roman" w:hAnsi="Oswald" w:cs="Times New Roman"/>
          <w:color w:val="1C1C1C"/>
          <w:spacing w:val="10"/>
          <w:kern w:val="36"/>
          <w:sz w:val="72"/>
          <w:szCs w:val="72"/>
          <w:u w:val="single"/>
        </w:rPr>
        <w:t>Misconceptions About Vacant Property Registries</w:t>
      </w:r>
      <w:r w:rsidRPr="00725BBD">
        <w:rPr>
          <w:rFonts w:ascii="Oswald" w:eastAsia="Times New Roman" w:hAnsi="Oswald" w:cs="Times New Roman"/>
          <w:color w:val="1C1C1C"/>
          <w:spacing w:val="10"/>
          <w:kern w:val="36"/>
          <w:sz w:val="72"/>
          <w:szCs w:val="72"/>
        </w:rPr>
        <w:fldChar w:fldCharType="end"/>
      </w:r>
    </w:p>
    <w:p w14:paraId="28292DE5" w14:textId="77777777" w:rsidR="00725BBD" w:rsidRDefault="00725BBD" w:rsidP="00725BBD">
      <w:pPr>
        <w:pStyle w:val="NormalWeb"/>
        <w:shd w:val="clear" w:color="auto" w:fill="FFFFFF"/>
        <w:spacing w:before="0" w:beforeAutospacing="0"/>
        <w:rPr>
          <w:rFonts w:ascii="Open Sans" w:hAnsi="Open Sans"/>
          <w:color w:val="000000"/>
          <w:sz w:val="21"/>
          <w:szCs w:val="21"/>
        </w:rPr>
      </w:pPr>
      <w:r>
        <w:rPr>
          <w:rStyle w:val="Emphasis"/>
          <w:rFonts w:ascii="Open Sans" w:eastAsiaTheme="majorEastAsia" w:hAnsi="Open Sans"/>
          <w:color w:val="000000"/>
          <w:sz w:val="21"/>
          <w:szCs w:val="21"/>
        </w:rPr>
        <w:t xml:space="preserve">Recently, one of GOPC’s partners asked for information regarding Vacant Property Registration Ordinances and how they can help address the issues of long-term vacancy and blight. The information below provides </w:t>
      </w:r>
      <w:proofErr w:type="gramStart"/>
      <w:r>
        <w:rPr>
          <w:rStyle w:val="Emphasis"/>
          <w:rFonts w:ascii="Open Sans" w:eastAsiaTheme="majorEastAsia" w:hAnsi="Open Sans"/>
          <w:color w:val="000000"/>
          <w:sz w:val="21"/>
          <w:szCs w:val="21"/>
        </w:rPr>
        <w:t>the a</w:t>
      </w:r>
      <w:proofErr w:type="gramEnd"/>
      <w:r>
        <w:rPr>
          <w:rStyle w:val="Emphasis"/>
          <w:rFonts w:ascii="Open Sans" w:eastAsiaTheme="majorEastAsia" w:hAnsi="Open Sans"/>
          <w:color w:val="000000"/>
          <w:sz w:val="21"/>
          <w:szCs w:val="21"/>
        </w:rPr>
        <w:t xml:space="preserve"> variety of facts and myths about this tool.</w:t>
      </w:r>
    </w:p>
    <w:p w14:paraId="4ED26EAD" w14:textId="76593915" w:rsidR="00725BBD" w:rsidRDefault="00725BBD" w:rsidP="00725BBD">
      <w:pPr>
        <w:pStyle w:val="Heading2"/>
        <w:shd w:val="clear" w:color="auto" w:fill="FFFFFF"/>
        <w:spacing w:before="240" w:after="120" w:line="264" w:lineRule="atLeast"/>
        <w:rPr>
          <w:rFonts w:ascii="Oswald" w:hAnsi="Oswald"/>
          <w:b/>
          <w:bCs/>
          <w:color w:val="1F1F1F"/>
          <w:spacing w:val="5"/>
          <w:sz w:val="54"/>
          <w:szCs w:val="54"/>
        </w:rPr>
      </w:pPr>
      <w:r>
        <w:rPr>
          <w:rFonts w:ascii="Oswald" w:hAnsi="Oswald"/>
          <w:b/>
          <w:bCs/>
          <w:color w:val="1F1F1F"/>
          <w:spacing w:val="5"/>
          <w:sz w:val="54"/>
          <w:szCs w:val="54"/>
        </w:rPr>
        <w:t>What is a VPRO?</w:t>
      </w:r>
    </w:p>
    <w:p w14:paraId="5B591681" w14:textId="77777777" w:rsidR="00725BBD" w:rsidRPr="00725BBD" w:rsidRDefault="00725BBD" w:rsidP="00725BBD">
      <w:pPr>
        <w:shd w:val="clear" w:color="auto" w:fill="FFFFFF"/>
        <w:spacing w:before="100" w:beforeAutospacing="1" w:after="100" w:afterAutospacing="1" w:line="240" w:lineRule="auto"/>
        <w:rPr>
          <w:rFonts w:ascii="Open Sans" w:eastAsia="Times New Roman" w:hAnsi="Open Sans" w:cs="Times New Roman"/>
          <w:color w:val="000000"/>
          <w:sz w:val="21"/>
          <w:szCs w:val="21"/>
        </w:rPr>
      </w:pPr>
      <w:r w:rsidRPr="00725BBD">
        <w:rPr>
          <w:rFonts w:ascii="Open Sans" w:eastAsia="Times New Roman" w:hAnsi="Open Sans" w:cs="Times New Roman"/>
          <w:color w:val="000000"/>
          <w:sz w:val="21"/>
          <w:szCs w:val="21"/>
        </w:rPr>
        <w:t>Unoccupied buildings with the potential to deteriorate present local governments with high social and economic costs. Vacant Property Registration Ordinances (VPROs) seek to address the high rates of vacancy that have plagued many municipalities since the foreclosure crisis.</w:t>
      </w:r>
    </w:p>
    <w:p w14:paraId="03C14B6D" w14:textId="77777777" w:rsidR="00725BBD" w:rsidRPr="00725BBD" w:rsidRDefault="00725BBD" w:rsidP="00725BBD">
      <w:pPr>
        <w:shd w:val="clear" w:color="auto" w:fill="FFFFFF"/>
        <w:spacing w:before="100" w:beforeAutospacing="1" w:after="100" w:afterAutospacing="1" w:line="240" w:lineRule="auto"/>
        <w:rPr>
          <w:rFonts w:ascii="Open Sans" w:eastAsia="Times New Roman" w:hAnsi="Open Sans" w:cs="Times New Roman"/>
          <w:color w:val="000000"/>
          <w:sz w:val="21"/>
          <w:szCs w:val="21"/>
        </w:rPr>
      </w:pPr>
      <w:r w:rsidRPr="00725BBD">
        <w:rPr>
          <w:rFonts w:ascii="Open Sans" w:eastAsia="Times New Roman" w:hAnsi="Open Sans" w:cs="Times New Roman"/>
          <w:color w:val="000000"/>
          <w:sz w:val="21"/>
          <w:szCs w:val="21"/>
        </w:rPr>
        <w:t>Vacant Property Registration Ordinances (VPROs) have three main objectives:</w:t>
      </w:r>
    </w:p>
    <w:p w14:paraId="2977520A" w14:textId="77777777" w:rsidR="00725BBD" w:rsidRPr="00725BBD" w:rsidRDefault="00725BBD" w:rsidP="00725BBD">
      <w:pPr>
        <w:numPr>
          <w:ilvl w:val="0"/>
          <w:numId w:val="1"/>
        </w:numPr>
        <w:shd w:val="clear" w:color="auto" w:fill="FFFFFF"/>
        <w:spacing w:before="120" w:after="120" w:line="240" w:lineRule="auto"/>
        <w:rPr>
          <w:rFonts w:ascii="Open Sans" w:eastAsia="Times New Roman" w:hAnsi="Open Sans" w:cs="Times New Roman"/>
          <w:color w:val="000000"/>
          <w:sz w:val="21"/>
          <w:szCs w:val="21"/>
        </w:rPr>
      </w:pPr>
      <w:r w:rsidRPr="00725BBD">
        <w:rPr>
          <w:rFonts w:ascii="Open Sans" w:eastAsia="Times New Roman" w:hAnsi="Open Sans" w:cs="Times New Roman"/>
          <w:color w:val="000000"/>
          <w:sz w:val="21"/>
          <w:szCs w:val="21"/>
        </w:rPr>
        <w:t>Ensure that owners of vacant properties are known to the city and other interested parties can be reached if necessary</w:t>
      </w:r>
    </w:p>
    <w:p w14:paraId="6193215F" w14:textId="0A35EAA8" w:rsidR="00725BBD" w:rsidRPr="00725BBD" w:rsidRDefault="00725BBD" w:rsidP="00725BBD">
      <w:pPr>
        <w:numPr>
          <w:ilvl w:val="0"/>
          <w:numId w:val="1"/>
        </w:numPr>
        <w:shd w:val="clear" w:color="auto" w:fill="FFFFFF"/>
        <w:spacing w:before="120" w:after="120" w:line="240" w:lineRule="auto"/>
        <w:rPr>
          <w:rFonts w:ascii="Open Sans" w:eastAsia="Times New Roman" w:hAnsi="Open Sans" w:cs="Times New Roman"/>
          <w:color w:val="000000"/>
          <w:sz w:val="21"/>
          <w:szCs w:val="21"/>
        </w:rPr>
      </w:pPr>
      <w:r w:rsidRPr="00725BBD">
        <w:rPr>
          <w:rFonts w:ascii="Open Sans" w:eastAsia="Times New Roman" w:hAnsi="Open Sans" w:cs="Times New Roman"/>
          <w:color w:val="000000"/>
          <w:sz w:val="21"/>
          <w:szCs w:val="21"/>
        </w:rPr>
        <w:t>Ensure owners of vacant properties are aware of their obligations of ownership under relevant city codes and regulations</w:t>
      </w:r>
      <w:r>
        <w:rPr>
          <w:rStyle w:val="FootnoteReference"/>
          <w:rFonts w:ascii="Open Sans" w:eastAsia="Times New Roman" w:hAnsi="Open Sans" w:cs="Times New Roman"/>
          <w:color w:val="000000"/>
          <w:sz w:val="21"/>
          <w:szCs w:val="21"/>
        </w:rPr>
        <w:footnoteReference w:id="1"/>
      </w:r>
    </w:p>
    <w:p w14:paraId="64742E40" w14:textId="7D0BFA19" w:rsidR="00725BBD" w:rsidRDefault="00725BBD" w:rsidP="00725BBD">
      <w:pPr>
        <w:numPr>
          <w:ilvl w:val="0"/>
          <w:numId w:val="1"/>
        </w:numPr>
        <w:shd w:val="clear" w:color="auto" w:fill="FFFFFF"/>
        <w:spacing w:before="120" w:after="120" w:line="240" w:lineRule="auto"/>
        <w:rPr>
          <w:rFonts w:ascii="Open Sans" w:eastAsia="Times New Roman" w:hAnsi="Open Sans" w:cs="Times New Roman"/>
          <w:color w:val="000000"/>
          <w:sz w:val="21"/>
          <w:szCs w:val="21"/>
        </w:rPr>
      </w:pPr>
      <w:r w:rsidRPr="00725BBD">
        <w:rPr>
          <w:rFonts w:ascii="Open Sans" w:eastAsia="Times New Roman" w:hAnsi="Open Sans" w:cs="Times New Roman"/>
          <w:color w:val="000000"/>
          <w:sz w:val="21"/>
          <w:szCs w:val="21"/>
        </w:rPr>
        <w:t>Ensure owners meet a minimum standard of maintenance of their properties</w:t>
      </w:r>
      <w:r>
        <w:rPr>
          <w:rStyle w:val="FootnoteReference"/>
          <w:rFonts w:ascii="Open Sans" w:eastAsia="Times New Roman" w:hAnsi="Open Sans" w:cs="Times New Roman"/>
          <w:color w:val="000000"/>
          <w:sz w:val="21"/>
          <w:szCs w:val="21"/>
        </w:rPr>
        <w:footnoteReference w:id="2"/>
      </w:r>
    </w:p>
    <w:p w14:paraId="3D7BEF58" w14:textId="77777777" w:rsidR="00725BBD" w:rsidRDefault="00725BBD" w:rsidP="00725BBD">
      <w:pPr>
        <w:pStyle w:val="Heading2"/>
        <w:shd w:val="clear" w:color="auto" w:fill="FFFFFF"/>
        <w:spacing w:before="240" w:after="120" w:line="264" w:lineRule="atLeast"/>
        <w:rPr>
          <w:rFonts w:ascii="Oswald" w:hAnsi="Oswald"/>
          <w:color w:val="1F1F1F"/>
          <w:spacing w:val="5"/>
          <w:sz w:val="54"/>
          <w:szCs w:val="54"/>
        </w:rPr>
      </w:pPr>
      <w:r>
        <w:rPr>
          <w:rFonts w:ascii="Oswald" w:hAnsi="Oswald"/>
          <w:b/>
          <w:bCs/>
          <w:color w:val="1F1F1F"/>
          <w:spacing w:val="5"/>
          <w:sz w:val="54"/>
          <w:szCs w:val="54"/>
        </w:rPr>
        <w:t>Benefits of a VPRO</w:t>
      </w:r>
    </w:p>
    <w:p w14:paraId="5699CEF2" w14:textId="77777777" w:rsidR="00725BBD" w:rsidRDefault="00725BBD" w:rsidP="00725BBD">
      <w:pPr>
        <w:pStyle w:val="Heading3"/>
        <w:shd w:val="clear" w:color="auto" w:fill="FFFFFF"/>
        <w:spacing w:before="240" w:after="120" w:line="264" w:lineRule="atLeast"/>
        <w:rPr>
          <w:rFonts w:ascii="Open Sans Condensed" w:hAnsi="Open Sans Condensed"/>
          <w:b/>
          <w:bCs/>
          <w:color w:val="1F1F1F"/>
          <w:sz w:val="32"/>
          <w:szCs w:val="32"/>
        </w:rPr>
      </w:pPr>
      <w:r>
        <w:rPr>
          <w:rFonts w:ascii="Open Sans Condensed" w:hAnsi="Open Sans Condensed"/>
          <w:color w:val="1F1F1F"/>
          <w:sz w:val="32"/>
          <w:szCs w:val="32"/>
        </w:rPr>
        <w:t>SELF-SUSTAINING PROGRAM</w:t>
      </w:r>
    </w:p>
    <w:p w14:paraId="65A4FACB" w14:textId="069BC693" w:rsidR="00725BBD" w:rsidRDefault="00725BBD" w:rsidP="00725BBD">
      <w:pPr>
        <w:pStyle w:val="NormalWeb"/>
        <w:shd w:val="clear" w:color="auto" w:fill="FFFFFF"/>
        <w:rPr>
          <w:rFonts w:ascii="Open Sans" w:hAnsi="Open Sans"/>
          <w:color w:val="000000"/>
          <w:sz w:val="21"/>
          <w:szCs w:val="21"/>
        </w:rPr>
      </w:pPr>
      <w:r>
        <w:rPr>
          <w:rFonts w:ascii="Open Sans" w:hAnsi="Open Sans"/>
          <w:color w:val="000000"/>
          <w:sz w:val="21"/>
          <w:szCs w:val="21"/>
        </w:rPr>
        <w:t xml:space="preserve">Funds generated through the Registry typically cover the costs of staff needed to properly staff enforcement of the Registry; in some cities (including small legacy cities) the fees generated are </w:t>
      </w:r>
      <w:proofErr w:type="gramStart"/>
      <w:r>
        <w:rPr>
          <w:rFonts w:ascii="Open Sans" w:hAnsi="Open Sans"/>
          <w:color w:val="000000"/>
          <w:sz w:val="21"/>
          <w:szCs w:val="21"/>
        </w:rPr>
        <w:t>sufficient enough</w:t>
      </w:r>
      <w:proofErr w:type="gramEnd"/>
      <w:r>
        <w:rPr>
          <w:rFonts w:ascii="Open Sans" w:hAnsi="Open Sans"/>
          <w:color w:val="000000"/>
          <w:sz w:val="21"/>
          <w:szCs w:val="21"/>
        </w:rPr>
        <w:t xml:space="preserve"> to fund 2+ code enforcement positions. For example, in Youngstown, it was </w:t>
      </w:r>
      <w:r>
        <w:rPr>
          <w:rFonts w:ascii="Open Sans" w:hAnsi="Open Sans"/>
          <w:color w:val="000000"/>
          <w:sz w:val="21"/>
          <w:szCs w:val="21"/>
        </w:rPr>
        <w:lastRenderedPageBreak/>
        <w:t>estimated that increased compliance with vacant and rental registration could generate $739,920 in annual revenue – enough to support hiring several employees to manage the programs.[1]</w:t>
      </w:r>
      <w:r>
        <w:rPr>
          <w:rStyle w:val="FootnoteReference"/>
          <w:rFonts w:ascii="Open Sans" w:hAnsi="Open Sans"/>
          <w:color w:val="000000"/>
          <w:sz w:val="21"/>
          <w:szCs w:val="21"/>
        </w:rPr>
        <w:footnoteReference w:id="3"/>
      </w:r>
    </w:p>
    <w:p w14:paraId="17A849CD" w14:textId="77777777" w:rsidR="00725BBD" w:rsidRDefault="00725BBD" w:rsidP="00725BBD">
      <w:pPr>
        <w:pStyle w:val="NormalWeb"/>
        <w:shd w:val="clear" w:color="auto" w:fill="FFFFFF"/>
        <w:rPr>
          <w:rFonts w:ascii="Open Sans" w:hAnsi="Open Sans"/>
          <w:color w:val="000000"/>
          <w:sz w:val="21"/>
          <w:szCs w:val="21"/>
        </w:rPr>
      </w:pPr>
    </w:p>
    <w:p w14:paraId="053638A2" w14:textId="77777777" w:rsidR="00725BBD" w:rsidRDefault="00725BBD" w:rsidP="00725BBD">
      <w:pPr>
        <w:pStyle w:val="Heading3"/>
        <w:shd w:val="clear" w:color="auto" w:fill="FFFFFF"/>
        <w:spacing w:before="240" w:after="120" w:line="264" w:lineRule="atLeast"/>
        <w:rPr>
          <w:rFonts w:ascii="Open Sans Condensed" w:hAnsi="Open Sans Condensed"/>
          <w:color w:val="1F1F1F"/>
          <w:sz w:val="32"/>
          <w:szCs w:val="32"/>
        </w:rPr>
      </w:pPr>
      <w:r>
        <w:rPr>
          <w:rFonts w:ascii="Open Sans Condensed" w:hAnsi="Open Sans Condensed"/>
          <w:color w:val="1F1F1F"/>
          <w:sz w:val="32"/>
          <w:szCs w:val="32"/>
        </w:rPr>
        <w:t xml:space="preserve">INCREASED SAFETY FOR FIRST RESPONDERS </w:t>
      </w:r>
    </w:p>
    <w:p w14:paraId="0C274E23" w14:textId="229A3586" w:rsidR="00725BBD" w:rsidRDefault="00725BBD" w:rsidP="00725BBD">
      <w:pPr>
        <w:pStyle w:val="NormalWeb"/>
        <w:shd w:val="clear" w:color="auto" w:fill="FFFFFF"/>
        <w:rPr>
          <w:rFonts w:ascii="Open Sans" w:hAnsi="Open Sans"/>
          <w:color w:val="000000"/>
          <w:sz w:val="21"/>
          <w:szCs w:val="21"/>
        </w:rPr>
      </w:pPr>
      <w:r>
        <w:rPr>
          <w:rFonts w:ascii="Open Sans" w:hAnsi="Open Sans"/>
          <w:color w:val="000000"/>
          <w:sz w:val="21"/>
          <w:szCs w:val="21"/>
        </w:rPr>
        <w:t xml:space="preserve">In a fire or other </w:t>
      </w:r>
      <w:proofErr w:type="gramStart"/>
      <w:r>
        <w:rPr>
          <w:rFonts w:ascii="Open Sans" w:hAnsi="Open Sans"/>
          <w:color w:val="000000"/>
          <w:sz w:val="21"/>
          <w:szCs w:val="21"/>
        </w:rPr>
        <w:t>emergency situation</w:t>
      </w:r>
      <w:proofErr w:type="gramEnd"/>
      <w:r>
        <w:rPr>
          <w:rFonts w:ascii="Open Sans" w:hAnsi="Open Sans"/>
          <w:color w:val="000000"/>
          <w:sz w:val="21"/>
          <w:szCs w:val="21"/>
        </w:rPr>
        <w:t>, first responders and emergency personnel are kept safer when they know if a building is vacant and the condition of the building’s roof and interior. In Worcester, MA, known vacant industrial buildings (such as old textile mills) are included on the registry and display a large red “X” affixed to the side of the building to warn first responders to not enter or enter with caution. Research by the National Fire Protection Agency reports that vacant building fires cause a disproportionate share of firefighter injuries.[2]</w:t>
      </w:r>
      <w:r w:rsidR="008B2A86">
        <w:rPr>
          <w:rStyle w:val="FootnoteReference"/>
          <w:rFonts w:ascii="Open Sans" w:hAnsi="Open Sans"/>
          <w:color w:val="000000"/>
          <w:sz w:val="21"/>
          <w:szCs w:val="21"/>
        </w:rPr>
        <w:footnoteReference w:id="4"/>
      </w:r>
    </w:p>
    <w:p w14:paraId="5AED396E" w14:textId="77777777" w:rsidR="00725BBD" w:rsidRDefault="00725BBD" w:rsidP="00725BBD">
      <w:pPr>
        <w:pStyle w:val="Heading3"/>
        <w:shd w:val="clear" w:color="auto" w:fill="FFFFFF"/>
        <w:spacing w:before="240" w:after="120" w:line="264" w:lineRule="atLeast"/>
        <w:rPr>
          <w:rFonts w:ascii="Open Sans Condensed" w:hAnsi="Open Sans Condensed"/>
          <w:color w:val="1F1F1F"/>
          <w:sz w:val="32"/>
          <w:szCs w:val="32"/>
        </w:rPr>
      </w:pPr>
      <w:r>
        <w:rPr>
          <w:rFonts w:ascii="Open Sans Condensed" w:hAnsi="Open Sans Condensed"/>
          <w:color w:val="1F1F1F"/>
          <w:sz w:val="32"/>
          <w:szCs w:val="32"/>
        </w:rPr>
        <w:t xml:space="preserve">PROTECTS PROPERTY OWNERS WHO MAINTAIN THEIR PROPERTIES </w:t>
      </w:r>
    </w:p>
    <w:p w14:paraId="59C10AF3" w14:textId="798966E1" w:rsidR="00725BBD" w:rsidRDefault="00725BBD" w:rsidP="00725BBD">
      <w:pPr>
        <w:pStyle w:val="NormalWeb"/>
        <w:shd w:val="clear" w:color="auto" w:fill="FFFFFF"/>
        <w:rPr>
          <w:rFonts w:ascii="Open Sans" w:hAnsi="Open Sans"/>
          <w:color w:val="000000"/>
          <w:sz w:val="21"/>
          <w:szCs w:val="21"/>
        </w:rPr>
      </w:pPr>
      <w:r>
        <w:rPr>
          <w:rFonts w:ascii="Open Sans" w:hAnsi="Open Sans"/>
          <w:color w:val="000000"/>
          <w:sz w:val="21"/>
          <w:szCs w:val="21"/>
        </w:rPr>
        <w:t>Owners who keep their properties in a state of good repair and make good-faith efforts to find occupants for their properties may pay a fee to register their building</w:t>
      </w:r>
      <w:r w:rsidR="00355307">
        <w:rPr>
          <w:rStyle w:val="FootnoteReference"/>
          <w:rFonts w:ascii="Open Sans" w:hAnsi="Open Sans"/>
          <w:color w:val="000000"/>
          <w:sz w:val="21"/>
          <w:szCs w:val="21"/>
        </w:rPr>
        <w:footnoteReference w:id="5"/>
      </w:r>
      <w:r>
        <w:rPr>
          <w:rFonts w:ascii="Open Sans" w:hAnsi="Open Sans"/>
          <w:color w:val="000000"/>
          <w:sz w:val="21"/>
          <w:szCs w:val="21"/>
        </w:rPr>
        <w:t>, but that fee is used to aggressively pursue property owners who are not code compliant. Blight associated with numerous code violations has a negative externality on the health of the surrounding neighborhood. Research by GOPC and others has confirmed vacant homes, especially those that are left to deteriorate, greatly reduce the value of surrounding properties. VPROs are a proven strategy in reducing the number of vacant properties and encourage a healthier real estate market, which benefits everyone.</w:t>
      </w:r>
    </w:p>
    <w:p w14:paraId="29B4AD5A" w14:textId="77777777" w:rsidR="00725BBD" w:rsidRDefault="00725BBD" w:rsidP="00725BBD">
      <w:pPr>
        <w:pStyle w:val="Heading2"/>
        <w:shd w:val="clear" w:color="auto" w:fill="FFFFFF"/>
        <w:spacing w:before="240" w:after="120" w:line="264" w:lineRule="atLeast"/>
        <w:rPr>
          <w:rFonts w:ascii="Oswald" w:hAnsi="Oswald"/>
          <w:color w:val="1F1F1F"/>
          <w:spacing w:val="5"/>
          <w:sz w:val="54"/>
          <w:szCs w:val="54"/>
        </w:rPr>
      </w:pPr>
      <w:r>
        <w:rPr>
          <w:rFonts w:ascii="Oswald" w:hAnsi="Oswald"/>
          <w:b/>
          <w:bCs/>
          <w:color w:val="1F1F1F"/>
          <w:spacing w:val="5"/>
          <w:sz w:val="54"/>
          <w:szCs w:val="54"/>
        </w:rPr>
        <w:lastRenderedPageBreak/>
        <w:t>Common Misconceptions about VPROs</w:t>
      </w:r>
    </w:p>
    <w:p w14:paraId="136B25A6" w14:textId="77777777" w:rsidR="00725BBD" w:rsidRDefault="00725BBD" w:rsidP="00725BBD">
      <w:pPr>
        <w:pStyle w:val="Heading3"/>
        <w:shd w:val="clear" w:color="auto" w:fill="FFFFFF"/>
        <w:spacing w:before="240" w:after="120" w:line="264" w:lineRule="atLeast"/>
        <w:rPr>
          <w:rFonts w:ascii="Open Sans Condensed" w:hAnsi="Open Sans Condensed"/>
          <w:b/>
          <w:bCs/>
          <w:color w:val="1F1F1F"/>
          <w:sz w:val="32"/>
          <w:szCs w:val="32"/>
        </w:rPr>
      </w:pPr>
      <w:r>
        <w:rPr>
          <w:rFonts w:ascii="Open Sans Condensed" w:hAnsi="Open Sans Condensed"/>
          <w:color w:val="1F1F1F"/>
          <w:sz w:val="32"/>
          <w:szCs w:val="32"/>
        </w:rPr>
        <w:t>A VACANT PROPERTY REGISTRY IS FINANCIALLY ONEROUS</w:t>
      </w:r>
    </w:p>
    <w:p w14:paraId="108FFD84" w14:textId="49C8F361" w:rsidR="00725BBD" w:rsidRDefault="00725BBD" w:rsidP="00725BBD">
      <w:pPr>
        <w:pStyle w:val="NormalWeb"/>
        <w:shd w:val="clear" w:color="auto" w:fill="FFFFFF"/>
        <w:rPr>
          <w:rFonts w:ascii="Open Sans" w:hAnsi="Open Sans"/>
          <w:color w:val="000000"/>
          <w:sz w:val="21"/>
          <w:szCs w:val="21"/>
        </w:rPr>
      </w:pPr>
      <w:r>
        <w:rPr>
          <w:rFonts w:ascii="Open Sans" w:hAnsi="Open Sans"/>
          <w:color w:val="000000"/>
          <w:sz w:val="21"/>
          <w:szCs w:val="21"/>
        </w:rPr>
        <w:t>A modest fee is likely not going to change the cost-benefit analysis for a property owner, whether it is a local individual or part of a larger portfolio. Additionally, charging fees only when there is non-compliance with maintenance gives property owners an opportunity to never pay a fee even if their property remains vacant for a long period of time.</w:t>
      </w:r>
      <w:r w:rsidR="00355307">
        <w:rPr>
          <w:rStyle w:val="FootnoteReference"/>
          <w:rFonts w:ascii="Open Sans" w:hAnsi="Open Sans"/>
          <w:color w:val="000000"/>
          <w:sz w:val="21"/>
          <w:szCs w:val="21"/>
        </w:rPr>
        <w:footnoteReference w:id="6"/>
      </w:r>
      <w:r>
        <w:rPr>
          <w:rFonts w:ascii="Open Sans" w:hAnsi="Open Sans"/>
          <w:color w:val="000000"/>
          <w:sz w:val="21"/>
          <w:szCs w:val="21"/>
        </w:rPr>
        <w:t xml:space="preserve"> And ultimately, even with no fee, the vacant property registry still provides a benefit of creating a record of what properties are vacant, where they are, and who owns them.</w:t>
      </w:r>
      <w:r w:rsidR="00355307">
        <w:rPr>
          <w:rStyle w:val="FootnoteReference"/>
          <w:rFonts w:ascii="Open Sans" w:hAnsi="Open Sans"/>
          <w:color w:val="000000"/>
          <w:sz w:val="21"/>
          <w:szCs w:val="21"/>
        </w:rPr>
        <w:footnoteReference w:id="7"/>
      </w:r>
    </w:p>
    <w:p w14:paraId="7EFD6ADF" w14:textId="77777777" w:rsidR="00725BBD" w:rsidRDefault="00725BBD" w:rsidP="00725BBD">
      <w:pPr>
        <w:pStyle w:val="Heading3"/>
        <w:shd w:val="clear" w:color="auto" w:fill="FFFFFF"/>
        <w:spacing w:before="240" w:after="120" w:line="264" w:lineRule="atLeast"/>
        <w:rPr>
          <w:rFonts w:ascii="Open Sans Condensed" w:hAnsi="Open Sans Condensed"/>
          <w:color w:val="1F1F1F"/>
          <w:sz w:val="32"/>
          <w:szCs w:val="32"/>
        </w:rPr>
      </w:pPr>
      <w:r>
        <w:rPr>
          <w:rFonts w:ascii="Open Sans Condensed" w:hAnsi="Open Sans Condensed"/>
          <w:color w:val="1F1F1F"/>
          <w:sz w:val="32"/>
          <w:szCs w:val="32"/>
        </w:rPr>
        <w:t xml:space="preserve">VPROs DISCOURAGE FIRMS FROM INVESTING AND LENDING </w:t>
      </w:r>
    </w:p>
    <w:p w14:paraId="5AF9D682" w14:textId="77777777" w:rsidR="00725BBD" w:rsidRDefault="00725BBD" w:rsidP="00725BBD">
      <w:pPr>
        <w:pStyle w:val="NormalWeb"/>
        <w:shd w:val="clear" w:color="auto" w:fill="FFFFFF"/>
        <w:rPr>
          <w:rFonts w:ascii="Open Sans" w:hAnsi="Open Sans"/>
          <w:color w:val="000000"/>
          <w:sz w:val="21"/>
          <w:szCs w:val="21"/>
        </w:rPr>
      </w:pPr>
      <w:r>
        <w:rPr>
          <w:rFonts w:ascii="Open Sans" w:hAnsi="Open Sans"/>
          <w:color w:val="000000"/>
          <w:sz w:val="21"/>
          <w:szCs w:val="21"/>
        </w:rPr>
        <w:t>Some opponents of VPROs argue they raise the costs of property ownership as well as the costs of servicing delinquent loans and foreclosed properties.</w:t>
      </w:r>
    </w:p>
    <w:p w14:paraId="3DA72FD7" w14:textId="7038FE16" w:rsidR="00725BBD" w:rsidRDefault="00725BBD" w:rsidP="00725BBD">
      <w:pPr>
        <w:pStyle w:val="NormalWeb"/>
        <w:shd w:val="clear" w:color="auto" w:fill="FFFFFF"/>
        <w:rPr>
          <w:rFonts w:ascii="Open Sans" w:hAnsi="Open Sans"/>
          <w:color w:val="000000"/>
          <w:sz w:val="21"/>
          <w:szCs w:val="21"/>
        </w:rPr>
      </w:pPr>
      <w:r>
        <w:rPr>
          <w:rFonts w:ascii="Open Sans" w:hAnsi="Open Sans"/>
          <w:color w:val="000000"/>
          <w:sz w:val="21"/>
          <w:szCs w:val="21"/>
        </w:rPr>
        <w:t>The truth is, the costs imposed by a VPRO represent the true costs of owning and managing a vacant property. A VPRO shifts the costs of vacant properties away from neighborhoods and local governments and onto the appropriate private parties. By requiring the cost of a vacant property to be considered during underwriting decisions, a VPRO encourages responsible investment and lending while discouraging irresponsible investment and speculation.</w:t>
      </w:r>
      <w:r w:rsidR="00D1055D">
        <w:rPr>
          <w:rStyle w:val="FootnoteReference"/>
          <w:rFonts w:ascii="Open Sans" w:hAnsi="Open Sans"/>
          <w:color w:val="000000"/>
          <w:sz w:val="21"/>
          <w:szCs w:val="21"/>
        </w:rPr>
        <w:footnoteReference w:id="8"/>
      </w:r>
    </w:p>
    <w:p w14:paraId="51E31330" w14:textId="77777777" w:rsidR="00725BBD" w:rsidRDefault="00725BBD" w:rsidP="00725BBD">
      <w:pPr>
        <w:pStyle w:val="Heading3"/>
        <w:shd w:val="clear" w:color="auto" w:fill="FFFFFF"/>
        <w:spacing w:before="240" w:after="120" w:line="264" w:lineRule="atLeast"/>
        <w:rPr>
          <w:rFonts w:ascii="Open Sans Condensed" w:hAnsi="Open Sans Condensed"/>
          <w:color w:val="1F1F1F"/>
          <w:sz w:val="32"/>
          <w:szCs w:val="32"/>
        </w:rPr>
      </w:pPr>
      <w:r>
        <w:rPr>
          <w:rFonts w:ascii="Open Sans Condensed" w:hAnsi="Open Sans Condensed"/>
          <w:color w:val="1F1F1F"/>
          <w:sz w:val="32"/>
          <w:szCs w:val="32"/>
        </w:rPr>
        <w:t>VPROs TRAMPLE PRIVATE PROPERTY RIGHTS</w:t>
      </w:r>
    </w:p>
    <w:p w14:paraId="0F63E83D" w14:textId="77777777" w:rsidR="00725BBD" w:rsidRDefault="00725BBD" w:rsidP="00725BBD">
      <w:pPr>
        <w:pStyle w:val="NormalWeb"/>
        <w:shd w:val="clear" w:color="auto" w:fill="FFFFFF"/>
        <w:rPr>
          <w:rFonts w:ascii="Open Sans" w:hAnsi="Open Sans"/>
          <w:color w:val="000000"/>
          <w:sz w:val="21"/>
          <w:szCs w:val="21"/>
        </w:rPr>
      </w:pPr>
      <w:r>
        <w:rPr>
          <w:rFonts w:ascii="Open Sans" w:hAnsi="Open Sans"/>
          <w:color w:val="000000"/>
          <w:sz w:val="21"/>
          <w:szCs w:val="21"/>
        </w:rPr>
        <w:t xml:space="preserve">If an owner of a vacant property finds $300 too burdensome to pay, it’s unlikely they will invest the $30,000 required to redo their roof and mechanical systems. Meanwhile, as their vacant property deteriorates, the property values of neighboring properties will </w:t>
      </w:r>
      <w:proofErr w:type="gramStart"/>
      <w:r>
        <w:rPr>
          <w:rFonts w:ascii="Open Sans" w:hAnsi="Open Sans"/>
          <w:color w:val="000000"/>
          <w:sz w:val="21"/>
          <w:szCs w:val="21"/>
        </w:rPr>
        <w:t>decline</w:t>
      </w:r>
      <w:proofErr w:type="gramEnd"/>
      <w:r>
        <w:rPr>
          <w:rFonts w:ascii="Open Sans" w:hAnsi="Open Sans"/>
          <w:color w:val="000000"/>
          <w:sz w:val="21"/>
          <w:szCs w:val="21"/>
        </w:rPr>
        <w:t xml:space="preserve"> and the neighborhood’s real estate market suffers.</w:t>
      </w:r>
    </w:p>
    <w:p w14:paraId="06D130CC" w14:textId="77777777" w:rsidR="00725BBD" w:rsidRDefault="00725BBD" w:rsidP="00725BBD">
      <w:pPr>
        <w:pStyle w:val="NormalWeb"/>
        <w:shd w:val="clear" w:color="auto" w:fill="FFFFFF"/>
        <w:rPr>
          <w:rFonts w:ascii="Open Sans" w:hAnsi="Open Sans"/>
          <w:color w:val="000000"/>
          <w:sz w:val="21"/>
          <w:szCs w:val="21"/>
        </w:rPr>
      </w:pPr>
      <w:r>
        <w:rPr>
          <w:rFonts w:ascii="Open Sans" w:hAnsi="Open Sans"/>
          <w:color w:val="000000"/>
          <w:sz w:val="21"/>
          <w:szCs w:val="21"/>
        </w:rPr>
        <w:lastRenderedPageBreak/>
        <w:t>The fact is, many more owners’ property rights are infringed upon by a blighted and deteriorating building, than the property rights of the single owner of the vacant property.</w:t>
      </w:r>
    </w:p>
    <w:p w14:paraId="2249C446" w14:textId="5307ACF9" w:rsidR="00725BBD" w:rsidRDefault="00725BBD" w:rsidP="00725BBD">
      <w:pPr>
        <w:pStyle w:val="NormalWeb"/>
        <w:shd w:val="clear" w:color="auto" w:fill="FFFFFF"/>
        <w:rPr>
          <w:rFonts w:ascii="Open Sans" w:hAnsi="Open Sans"/>
          <w:color w:val="000000"/>
          <w:sz w:val="21"/>
          <w:szCs w:val="21"/>
        </w:rPr>
      </w:pPr>
      <w:r>
        <w:rPr>
          <w:rFonts w:ascii="Open Sans" w:hAnsi="Open Sans"/>
          <w:color w:val="000000"/>
          <w:sz w:val="21"/>
          <w:szCs w:val="21"/>
        </w:rPr>
        <w:t>Additionally, if the property owner is making good faith efforts to bring properties into code and/or to be occupied the city usually acknowledges those efforts and will work with the owner.</w:t>
      </w:r>
      <w:r w:rsidR="00D1055D">
        <w:rPr>
          <w:rStyle w:val="FootnoteReference"/>
          <w:rFonts w:ascii="Open Sans" w:hAnsi="Open Sans"/>
          <w:color w:val="000000"/>
          <w:sz w:val="21"/>
          <w:szCs w:val="21"/>
        </w:rPr>
        <w:footnoteReference w:id="9"/>
      </w:r>
    </w:p>
    <w:p w14:paraId="02FB73D2" w14:textId="77777777" w:rsidR="00725BBD" w:rsidRDefault="00725BBD" w:rsidP="00725BBD">
      <w:pPr>
        <w:pStyle w:val="Heading3"/>
        <w:shd w:val="clear" w:color="auto" w:fill="FFFFFF"/>
        <w:spacing w:before="240" w:after="120" w:line="264" w:lineRule="atLeast"/>
        <w:rPr>
          <w:rFonts w:ascii="Open Sans Condensed" w:hAnsi="Open Sans Condensed"/>
          <w:color w:val="1F1F1F"/>
          <w:sz w:val="32"/>
          <w:szCs w:val="32"/>
        </w:rPr>
      </w:pPr>
      <w:r>
        <w:rPr>
          <w:rFonts w:ascii="Open Sans Condensed" w:hAnsi="Open Sans Condensed"/>
          <w:color w:val="1F1F1F"/>
          <w:sz w:val="32"/>
          <w:szCs w:val="32"/>
        </w:rPr>
        <w:t>WHAT ABOUT THOSE WHO DON’T REGISTER?</w:t>
      </w:r>
    </w:p>
    <w:p w14:paraId="0396F039" w14:textId="0DF93C0D" w:rsidR="00725BBD" w:rsidRDefault="00725BBD" w:rsidP="00725BBD">
      <w:pPr>
        <w:pStyle w:val="NormalWeb"/>
        <w:shd w:val="clear" w:color="auto" w:fill="FFFFFF"/>
        <w:rPr>
          <w:rFonts w:ascii="Open Sans" w:hAnsi="Open Sans"/>
          <w:color w:val="000000"/>
          <w:sz w:val="21"/>
          <w:szCs w:val="21"/>
        </w:rPr>
      </w:pPr>
      <w:r>
        <w:rPr>
          <w:rFonts w:ascii="Open Sans" w:hAnsi="Open Sans"/>
          <w:color w:val="000000"/>
          <w:sz w:val="21"/>
          <w:szCs w:val="21"/>
        </w:rPr>
        <w:t>Non-compliance with the Registry can have legal ramifications, mainly increased fines that the city can eventually foreclose upon</w:t>
      </w:r>
      <w:r w:rsidR="002D776E">
        <w:rPr>
          <w:rStyle w:val="FootnoteReference"/>
          <w:rFonts w:ascii="Open Sans" w:hAnsi="Open Sans"/>
          <w:color w:val="000000"/>
          <w:sz w:val="21"/>
          <w:szCs w:val="21"/>
        </w:rPr>
        <w:footnoteReference w:id="10"/>
      </w:r>
      <w:r>
        <w:rPr>
          <w:rFonts w:ascii="Open Sans" w:hAnsi="Open Sans"/>
          <w:color w:val="000000"/>
          <w:sz w:val="21"/>
          <w:szCs w:val="21"/>
        </w:rPr>
        <w:t>. After action is taken against one non-compliant owner, other owners usually fall in line.</w:t>
      </w:r>
    </w:p>
    <w:p w14:paraId="508A5F46" w14:textId="77777777" w:rsidR="00725BBD" w:rsidRDefault="00725BBD" w:rsidP="00725BBD">
      <w:pPr>
        <w:pStyle w:val="Heading2"/>
        <w:shd w:val="clear" w:color="auto" w:fill="FFFFFF"/>
        <w:spacing w:before="240" w:after="120" w:line="264" w:lineRule="atLeast"/>
        <w:rPr>
          <w:rFonts w:ascii="Oswald" w:hAnsi="Oswald"/>
          <w:color w:val="1F1F1F"/>
          <w:spacing w:val="5"/>
          <w:sz w:val="54"/>
          <w:szCs w:val="54"/>
        </w:rPr>
      </w:pPr>
      <w:r>
        <w:rPr>
          <w:rFonts w:ascii="Oswald" w:hAnsi="Oswald"/>
          <w:b/>
          <w:bCs/>
          <w:color w:val="1F1F1F"/>
          <w:spacing w:val="5"/>
          <w:sz w:val="54"/>
          <w:szCs w:val="54"/>
        </w:rPr>
        <w:t>Structuring a VPRO to a Community’s Needs</w:t>
      </w:r>
    </w:p>
    <w:p w14:paraId="6775E379" w14:textId="2B954A1E" w:rsidR="00725BBD" w:rsidRDefault="00725BBD" w:rsidP="00725BBD">
      <w:pPr>
        <w:pStyle w:val="NormalWeb"/>
        <w:shd w:val="clear" w:color="auto" w:fill="FFFFFF"/>
        <w:rPr>
          <w:rFonts w:ascii="Open Sans" w:hAnsi="Open Sans"/>
          <w:color w:val="000000"/>
          <w:sz w:val="21"/>
          <w:szCs w:val="21"/>
        </w:rPr>
      </w:pPr>
      <w:r>
        <w:rPr>
          <w:rFonts w:ascii="Open Sans" w:hAnsi="Open Sans"/>
          <w:color w:val="000000"/>
          <w:sz w:val="21"/>
          <w:szCs w:val="21"/>
        </w:rPr>
        <w:t>Registration: Some cities require registration after a property has been vacant for a determined amount of time, while others require them to be registered after a foreclosure (the latter being aimed at mortgage lenders).</w:t>
      </w:r>
      <w:r w:rsidR="008F3577">
        <w:rPr>
          <w:rStyle w:val="FootnoteReference"/>
          <w:rFonts w:ascii="Open Sans" w:hAnsi="Open Sans"/>
          <w:color w:val="000000"/>
          <w:sz w:val="21"/>
          <w:szCs w:val="21"/>
        </w:rPr>
        <w:footnoteReference w:id="11"/>
      </w:r>
    </w:p>
    <w:p w14:paraId="30A48ED2" w14:textId="344C1568" w:rsidR="00725BBD" w:rsidRDefault="00725BBD" w:rsidP="00725BBD">
      <w:pPr>
        <w:pStyle w:val="NormalWeb"/>
        <w:shd w:val="clear" w:color="auto" w:fill="FFFFFF"/>
        <w:rPr>
          <w:rFonts w:ascii="Open Sans" w:hAnsi="Open Sans"/>
          <w:color w:val="000000"/>
          <w:sz w:val="21"/>
          <w:szCs w:val="21"/>
        </w:rPr>
      </w:pPr>
      <w:r>
        <w:rPr>
          <w:rFonts w:ascii="Open Sans" w:hAnsi="Open Sans"/>
          <w:color w:val="000000"/>
          <w:sz w:val="21"/>
          <w:szCs w:val="21"/>
        </w:rPr>
        <w:t>Fees: Some cities impose fees that escalate every year a property remains vacant and require property owners to provide plans for renovation or demolition (i.e. they must have a plan for the building). Other cities impose a small flat fee or no fee at all</w:t>
      </w:r>
      <w:r w:rsidR="008F3577">
        <w:rPr>
          <w:rStyle w:val="FootnoteReference"/>
          <w:rFonts w:ascii="Open Sans" w:hAnsi="Open Sans"/>
          <w:color w:val="000000"/>
          <w:sz w:val="21"/>
          <w:szCs w:val="21"/>
        </w:rPr>
        <w:footnoteReference w:id="12"/>
      </w:r>
      <w:r>
        <w:rPr>
          <w:rFonts w:ascii="Open Sans" w:hAnsi="Open Sans"/>
          <w:color w:val="000000"/>
          <w:sz w:val="21"/>
          <w:szCs w:val="21"/>
        </w:rPr>
        <w:t xml:space="preserve"> but impose penalties when property owners do not comply with basic maintenance rules.</w:t>
      </w:r>
    </w:p>
    <w:p w14:paraId="3407DD6A" w14:textId="77777777" w:rsidR="00725BBD" w:rsidRDefault="00725BBD" w:rsidP="00725BBD">
      <w:pPr>
        <w:pStyle w:val="NormalWeb"/>
        <w:shd w:val="clear" w:color="auto" w:fill="FFFFFF"/>
        <w:rPr>
          <w:rFonts w:ascii="Open Sans" w:hAnsi="Open Sans"/>
          <w:color w:val="000000"/>
          <w:sz w:val="21"/>
          <w:szCs w:val="21"/>
        </w:rPr>
      </w:pPr>
      <w:r>
        <w:rPr>
          <w:rFonts w:ascii="Open Sans" w:hAnsi="Open Sans"/>
          <w:color w:val="000000"/>
          <w:sz w:val="21"/>
          <w:szCs w:val="21"/>
        </w:rPr>
        <w:t>Type of Property: Can apply only to residential, commercial or industrial or all three types of properties. Typically, commercial and industrial properties are treated the same as residential properties in VPROs.</w:t>
      </w:r>
    </w:p>
    <w:p w14:paraId="2CC5FE28" w14:textId="77777777" w:rsidR="00725BBD" w:rsidRDefault="00725BBD" w:rsidP="00725BBD">
      <w:pPr>
        <w:pStyle w:val="Heading3"/>
        <w:shd w:val="clear" w:color="auto" w:fill="FFFFFF"/>
        <w:spacing w:before="240" w:after="120" w:line="264" w:lineRule="atLeast"/>
        <w:rPr>
          <w:rFonts w:ascii="Open Sans Condensed" w:hAnsi="Open Sans Condensed"/>
          <w:color w:val="1F1F1F"/>
          <w:sz w:val="32"/>
          <w:szCs w:val="32"/>
        </w:rPr>
      </w:pPr>
      <w:r>
        <w:rPr>
          <w:rFonts w:ascii="Open Sans Condensed" w:hAnsi="Open Sans Condensed"/>
          <w:color w:val="1F1F1F"/>
          <w:sz w:val="32"/>
          <w:szCs w:val="32"/>
        </w:rPr>
        <w:lastRenderedPageBreak/>
        <w:t>GOOD PRACTICES</w:t>
      </w:r>
    </w:p>
    <w:p w14:paraId="42B4056B" w14:textId="4D641434" w:rsidR="00725BBD" w:rsidRDefault="00725BBD" w:rsidP="00725BBD">
      <w:pPr>
        <w:pStyle w:val="NormalWeb"/>
        <w:shd w:val="clear" w:color="auto" w:fill="FFFFFF"/>
        <w:rPr>
          <w:rFonts w:ascii="Open Sans" w:hAnsi="Open Sans"/>
          <w:color w:val="000000"/>
          <w:sz w:val="21"/>
          <w:szCs w:val="21"/>
        </w:rPr>
      </w:pPr>
      <w:r>
        <w:rPr>
          <w:rFonts w:ascii="Open Sans" w:hAnsi="Open Sans"/>
          <w:color w:val="000000"/>
          <w:sz w:val="21"/>
          <w:szCs w:val="21"/>
        </w:rPr>
        <w:t>For legacy cities dealing with long term vacancy, the model of requiring property registration after 45 days of being vacant is a good practice, since their vacancy issues go well beyond new foreclosures. The best systems are likely a combination of both: requiring registration at the time of foreclosure and for buildings that are vacant for 45+ days.</w:t>
      </w:r>
      <w:r w:rsidR="00AC57E0">
        <w:rPr>
          <w:rStyle w:val="FootnoteReference"/>
          <w:rFonts w:ascii="Open Sans" w:hAnsi="Open Sans"/>
          <w:color w:val="000000"/>
          <w:sz w:val="21"/>
          <w:szCs w:val="21"/>
        </w:rPr>
        <w:footnoteReference w:id="13"/>
      </w:r>
    </w:p>
    <w:p w14:paraId="0F40BF41" w14:textId="01F95F8A" w:rsidR="00725BBD" w:rsidRDefault="00725BBD" w:rsidP="00725BBD">
      <w:pPr>
        <w:pStyle w:val="NormalWeb"/>
        <w:shd w:val="clear" w:color="auto" w:fill="FFFFFF"/>
        <w:rPr>
          <w:rFonts w:ascii="Open Sans" w:hAnsi="Open Sans"/>
          <w:color w:val="000000"/>
          <w:sz w:val="21"/>
          <w:szCs w:val="21"/>
        </w:rPr>
      </w:pPr>
      <w:r>
        <w:rPr>
          <w:rFonts w:ascii="Open Sans" w:hAnsi="Open Sans"/>
          <w:color w:val="000000"/>
          <w:sz w:val="21"/>
          <w:szCs w:val="21"/>
        </w:rPr>
        <w:t>The fee structure is most likely the most critical component of a successful VPRO. The fee is the incentive for property owners to rehabilitate their properties.</w:t>
      </w:r>
      <w:r w:rsidR="00AC57E0">
        <w:rPr>
          <w:rStyle w:val="FootnoteReference"/>
          <w:rFonts w:ascii="Open Sans" w:hAnsi="Open Sans"/>
          <w:color w:val="000000"/>
          <w:sz w:val="21"/>
          <w:szCs w:val="21"/>
        </w:rPr>
        <w:footnoteReference w:id="14"/>
      </w:r>
      <w:r>
        <w:rPr>
          <w:rFonts w:ascii="Open Sans" w:hAnsi="Open Sans"/>
          <w:color w:val="000000"/>
          <w:sz w:val="21"/>
          <w:szCs w:val="21"/>
        </w:rPr>
        <w:t xml:space="preserve"> Typically, the fee ranges from $0 to over $600 per year. Some cities offer an option to waive the fee if the property owner provides plans for scheduled rehabilitating or demolition. Other cities offer a rebate on the fees a property owner pays once the vacant property is put back to use.</w:t>
      </w:r>
    </w:p>
    <w:p w14:paraId="41F5CAE0" w14:textId="1FF16869" w:rsidR="00725BBD" w:rsidRDefault="00725BBD" w:rsidP="00725BBD">
      <w:pPr>
        <w:pStyle w:val="NormalWeb"/>
        <w:shd w:val="clear" w:color="auto" w:fill="FFFFFF"/>
        <w:rPr>
          <w:rFonts w:ascii="Open Sans" w:hAnsi="Open Sans"/>
          <w:color w:val="000000"/>
          <w:sz w:val="21"/>
          <w:szCs w:val="21"/>
        </w:rPr>
      </w:pPr>
      <w:r>
        <w:rPr>
          <w:rFonts w:ascii="Open Sans" w:hAnsi="Open Sans"/>
          <w:color w:val="000000"/>
          <w:sz w:val="21"/>
          <w:szCs w:val="21"/>
        </w:rPr>
        <w:t>The fee structure is a fine line. In weak markets, the fee may cause property owners who are at least minimally paying taxes and maintain their properties to end up abandoning them.</w:t>
      </w:r>
      <w:r w:rsidR="00AC57E0">
        <w:rPr>
          <w:rStyle w:val="FootnoteReference"/>
          <w:rFonts w:ascii="Open Sans" w:hAnsi="Open Sans"/>
          <w:color w:val="000000"/>
          <w:sz w:val="21"/>
          <w:szCs w:val="21"/>
        </w:rPr>
        <w:footnoteReference w:id="15"/>
      </w:r>
    </w:p>
    <w:p w14:paraId="0D74B7F0" w14:textId="77777777" w:rsidR="00725BBD" w:rsidRDefault="00803795" w:rsidP="00725BBD">
      <w:pPr>
        <w:pStyle w:val="NormalWeb"/>
        <w:shd w:val="clear" w:color="auto" w:fill="FFFFFF"/>
        <w:rPr>
          <w:rFonts w:ascii="Open Sans" w:hAnsi="Open Sans"/>
          <w:color w:val="000000"/>
          <w:sz w:val="21"/>
          <w:szCs w:val="21"/>
        </w:rPr>
      </w:pPr>
      <w:hyperlink r:id="rId8" w:tgtFrame="_blank" w:history="1">
        <w:r w:rsidR="00725BBD">
          <w:rPr>
            <w:rStyle w:val="Hyperlink"/>
            <w:rFonts w:ascii="Open Sans" w:hAnsi="Open Sans"/>
            <w:b/>
            <w:bCs/>
            <w:color w:val="407F7F"/>
            <w:sz w:val="21"/>
            <w:szCs w:val="21"/>
          </w:rPr>
          <w:t xml:space="preserve">The Center for Community Progress </w:t>
        </w:r>
      </w:hyperlink>
      <w:r w:rsidR="00725BBD">
        <w:rPr>
          <w:rFonts w:ascii="Open Sans" w:hAnsi="Open Sans"/>
          <w:color w:val="000000"/>
          <w:sz w:val="21"/>
          <w:szCs w:val="21"/>
        </w:rPr>
        <w:t>suggests that vacant property registration ordinance should include the following elements:</w:t>
      </w:r>
    </w:p>
    <w:p w14:paraId="51C12D61" w14:textId="70959163" w:rsidR="00725BBD" w:rsidRDefault="00725BBD" w:rsidP="00725BBD">
      <w:pPr>
        <w:pStyle w:val="NormalWeb"/>
        <w:numPr>
          <w:ilvl w:val="0"/>
          <w:numId w:val="2"/>
        </w:numPr>
        <w:shd w:val="clear" w:color="auto" w:fill="FFFFFF"/>
        <w:spacing w:before="120" w:beforeAutospacing="0" w:after="120" w:afterAutospacing="0"/>
        <w:rPr>
          <w:rFonts w:ascii="Open Sans" w:hAnsi="Open Sans"/>
          <w:color w:val="000000"/>
          <w:sz w:val="21"/>
          <w:szCs w:val="21"/>
        </w:rPr>
      </w:pPr>
      <w:r>
        <w:rPr>
          <w:rFonts w:ascii="Open Sans" w:hAnsi="Open Sans"/>
          <w:color w:val="000000"/>
          <w:sz w:val="21"/>
          <w:szCs w:val="21"/>
        </w:rPr>
        <w:t>A clear definition of which properties and which parties must register;</w:t>
      </w:r>
      <w:r w:rsidR="00AC57E0">
        <w:rPr>
          <w:rStyle w:val="FootnoteReference"/>
          <w:rFonts w:ascii="Open Sans" w:hAnsi="Open Sans"/>
          <w:color w:val="000000"/>
          <w:sz w:val="21"/>
          <w:szCs w:val="21"/>
        </w:rPr>
        <w:footnoteReference w:id="16"/>
      </w:r>
    </w:p>
    <w:p w14:paraId="7AF6CF1B" w14:textId="29E00DC8" w:rsidR="00725BBD" w:rsidRDefault="00725BBD" w:rsidP="00725BBD">
      <w:pPr>
        <w:pStyle w:val="NormalWeb"/>
        <w:numPr>
          <w:ilvl w:val="0"/>
          <w:numId w:val="2"/>
        </w:numPr>
        <w:shd w:val="clear" w:color="auto" w:fill="FFFFFF"/>
        <w:spacing w:before="120" w:beforeAutospacing="0" w:after="120" w:afterAutospacing="0"/>
        <w:rPr>
          <w:rFonts w:ascii="Open Sans" w:hAnsi="Open Sans"/>
          <w:color w:val="000000"/>
          <w:sz w:val="21"/>
          <w:szCs w:val="21"/>
        </w:rPr>
      </w:pPr>
      <w:r>
        <w:rPr>
          <w:rFonts w:ascii="Open Sans" w:hAnsi="Open Sans"/>
          <w:color w:val="000000"/>
          <w:sz w:val="21"/>
          <w:szCs w:val="21"/>
        </w:rPr>
        <w:t>The registration requirements and procedures</w:t>
      </w:r>
      <w:r w:rsidR="00AC57E0">
        <w:rPr>
          <w:rStyle w:val="FootnoteReference"/>
          <w:rFonts w:ascii="Open Sans" w:hAnsi="Open Sans"/>
          <w:color w:val="000000"/>
          <w:sz w:val="21"/>
          <w:szCs w:val="21"/>
        </w:rPr>
        <w:footnoteReference w:id="17"/>
      </w:r>
      <w:r>
        <w:rPr>
          <w:rFonts w:ascii="Open Sans" w:hAnsi="Open Sans"/>
          <w:color w:val="000000"/>
          <w:sz w:val="21"/>
          <w:szCs w:val="21"/>
        </w:rPr>
        <w:t>, including the information required of the owner or lienholder;</w:t>
      </w:r>
      <w:r w:rsidR="00AC57E0">
        <w:rPr>
          <w:rStyle w:val="FootnoteReference"/>
          <w:rFonts w:ascii="Open Sans" w:hAnsi="Open Sans"/>
          <w:color w:val="000000"/>
          <w:sz w:val="21"/>
          <w:szCs w:val="21"/>
        </w:rPr>
        <w:footnoteReference w:id="18"/>
      </w:r>
    </w:p>
    <w:p w14:paraId="69743C16" w14:textId="77777777" w:rsidR="00725BBD" w:rsidRDefault="00725BBD" w:rsidP="00725BBD">
      <w:pPr>
        <w:pStyle w:val="NormalWeb"/>
        <w:numPr>
          <w:ilvl w:val="0"/>
          <w:numId w:val="2"/>
        </w:numPr>
        <w:shd w:val="clear" w:color="auto" w:fill="FFFFFF"/>
        <w:spacing w:before="120" w:beforeAutospacing="0" w:after="120" w:afterAutospacing="0"/>
        <w:rPr>
          <w:rFonts w:ascii="Open Sans" w:hAnsi="Open Sans"/>
          <w:color w:val="000000"/>
          <w:sz w:val="21"/>
          <w:szCs w:val="21"/>
        </w:rPr>
      </w:pPr>
      <w:r>
        <w:rPr>
          <w:rFonts w:ascii="Open Sans" w:hAnsi="Open Sans"/>
          <w:color w:val="000000"/>
          <w:sz w:val="21"/>
          <w:szCs w:val="21"/>
        </w:rPr>
        <w:t>The fee structure;</w:t>
      </w:r>
    </w:p>
    <w:p w14:paraId="2B320CCF" w14:textId="77777777" w:rsidR="00725BBD" w:rsidRDefault="00725BBD" w:rsidP="00725BBD">
      <w:pPr>
        <w:pStyle w:val="NormalWeb"/>
        <w:numPr>
          <w:ilvl w:val="0"/>
          <w:numId w:val="2"/>
        </w:numPr>
        <w:shd w:val="clear" w:color="auto" w:fill="FFFFFF"/>
        <w:spacing w:before="120" w:beforeAutospacing="0" w:after="120" w:afterAutospacing="0"/>
        <w:rPr>
          <w:rFonts w:ascii="Open Sans" w:hAnsi="Open Sans"/>
          <w:color w:val="000000"/>
          <w:sz w:val="21"/>
          <w:szCs w:val="21"/>
        </w:rPr>
      </w:pPr>
      <w:r>
        <w:rPr>
          <w:rFonts w:ascii="Open Sans" w:hAnsi="Open Sans"/>
          <w:color w:val="000000"/>
          <w:sz w:val="21"/>
          <w:szCs w:val="21"/>
        </w:rPr>
        <w:t>The obligations of the owner, with respect to maintaining the property; and</w:t>
      </w:r>
    </w:p>
    <w:p w14:paraId="3A221B7E" w14:textId="77777777" w:rsidR="00725BBD" w:rsidRDefault="00725BBD" w:rsidP="00725BBD">
      <w:pPr>
        <w:pStyle w:val="NormalWeb"/>
        <w:numPr>
          <w:ilvl w:val="0"/>
          <w:numId w:val="2"/>
        </w:numPr>
        <w:shd w:val="clear" w:color="auto" w:fill="FFFFFF"/>
        <w:spacing w:before="120" w:beforeAutospacing="0" w:after="120" w:afterAutospacing="0"/>
        <w:rPr>
          <w:rFonts w:ascii="Open Sans" w:hAnsi="Open Sans"/>
          <w:color w:val="000000"/>
          <w:sz w:val="21"/>
          <w:szCs w:val="21"/>
        </w:rPr>
      </w:pPr>
      <w:r>
        <w:rPr>
          <w:rFonts w:ascii="Open Sans" w:hAnsi="Open Sans"/>
          <w:color w:val="000000"/>
          <w:sz w:val="21"/>
          <w:szCs w:val="21"/>
        </w:rPr>
        <w:t>The penalties for failing to register in timely fashion.</w:t>
      </w:r>
    </w:p>
    <w:p w14:paraId="498596C0" w14:textId="77777777" w:rsidR="00725BBD" w:rsidRDefault="00725BBD" w:rsidP="00725BBD">
      <w:pPr>
        <w:pStyle w:val="Heading3"/>
        <w:shd w:val="clear" w:color="auto" w:fill="FFFFFF"/>
        <w:spacing w:before="240" w:after="120" w:line="264" w:lineRule="atLeast"/>
        <w:rPr>
          <w:rFonts w:ascii="Open Sans Condensed" w:hAnsi="Open Sans Condensed"/>
          <w:color w:val="1F1F1F"/>
          <w:sz w:val="32"/>
          <w:szCs w:val="32"/>
        </w:rPr>
      </w:pPr>
      <w:r>
        <w:rPr>
          <w:rFonts w:ascii="Open Sans Condensed" w:hAnsi="Open Sans Condensed"/>
          <w:color w:val="1F1F1F"/>
          <w:sz w:val="32"/>
          <w:szCs w:val="32"/>
        </w:rPr>
        <w:lastRenderedPageBreak/>
        <w:t>VPROs IN OHIO</w:t>
      </w:r>
    </w:p>
    <w:p w14:paraId="24F525C2" w14:textId="77777777" w:rsidR="00725BBD" w:rsidRDefault="00803795" w:rsidP="00725BBD">
      <w:pPr>
        <w:pStyle w:val="NormalWeb"/>
        <w:shd w:val="clear" w:color="auto" w:fill="FFFFFF"/>
        <w:rPr>
          <w:rFonts w:ascii="Open Sans" w:hAnsi="Open Sans"/>
          <w:color w:val="000000"/>
          <w:sz w:val="21"/>
          <w:szCs w:val="21"/>
        </w:rPr>
      </w:pPr>
      <w:hyperlink r:id="rId9" w:history="1">
        <w:r w:rsidR="00725BBD">
          <w:rPr>
            <w:rStyle w:val="Strong"/>
            <w:rFonts w:ascii="Open Sans" w:hAnsi="Open Sans"/>
            <w:color w:val="407F7F"/>
            <w:sz w:val="21"/>
            <w:szCs w:val="21"/>
          </w:rPr>
          <w:t>Click here to view the VPRO language from Ashtabula, OH</w:t>
        </w:r>
      </w:hyperlink>
      <w:r w:rsidR="00725BBD">
        <w:rPr>
          <w:rStyle w:val="Strong"/>
          <w:rFonts w:ascii="Open Sans" w:hAnsi="Open Sans"/>
          <w:color w:val="000000"/>
          <w:sz w:val="21"/>
          <w:szCs w:val="21"/>
        </w:rPr>
        <w:t xml:space="preserve"> </w:t>
      </w:r>
    </w:p>
    <w:p w14:paraId="6BB64D6E" w14:textId="77777777" w:rsidR="00725BBD" w:rsidRDefault="00803795" w:rsidP="00725BBD">
      <w:pPr>
        <w:pStyle w:val="NormalWeb"/>
        <w:shd w:val="clear" w:color="auto" w:fill="FFFFFF"/>
        <w:rPr>
          <w:rFonts w:ascii="Open Sans" w:hAnsi="Open Sans"/>
          <w:color w:val="000000"/>
          <w:sz w:val="21"/>
          <w:szCs w:val="21"/>
        </w:rPr>
      </w:pPr>
      <w:hyperlink r:id="rId10" w:history="1">
        <w:r w:rsidR="00725BBD">
          <w:rPr>
            <w:rStyle w:val="Strong"/>
            <w:rFonts w:ascii="Open Sans" w:hAnsi="Open Sans"/>
            <w:color w:val="407F7F"/>
            <w:sz w:val="21"/>
            <w:szCs w:val="21"/>
          </w:rPr>
          <w:t>Click here to view the VPRO language from Painesville, OH</w:t>
        </w:r>
      </w:hyperlink>
    </w:p>
    <w:p w14:paraId="4BC55984" w14:textId="77777777" w:rsidR="00725BBD" w:rsidRDefault="00803795" w:rsidP="00725BBD">
      <w:pPr>
        <w:pStyle w:val="NormalWeb"/>
        <w:shd w:val="clear" w:color="auto" w:fill="FFFFFF"/>
        <w:rPr>
          <w:rFonts w:ascii="Open Sans" w:hAnsi="Open Sans"/>
          <w:color w:val="000000"/>
          <w:sz w:val="21"/>
          <w:szCs w:val="21"/>
        </w:rPr>
      </w:pPr>
      <w:hyperlink r:id="rId11" w:history="1">
        <w:r w:rsidR="00725BBD">
          <w:rPr>
            <w:rStyle w:val="Strong"/>
            <w:rFonts w:ascii="Open Sans" w:hAnsi="Open Sans"/>
            <w:color w:val="407F7F"/>
            <w:sz w:val="21"/>
            <w:szCs w:val="21"/>
          </w:rPr>
          <w:t>Click here to view the VPRO language from Cleveland Heights, OH</w:t>
        </w:r>
      </w:hyperlink>
    </w:p>
    <w:p w14:paraId="6D07EDCC" w14:textId="77777777" w:rsidR="00725BBD" w:rsidRDefault="00803795" w:rsidP="00725BBD">
      <w:pPr>
        <w:pStyle w:val="NormalWeb"/>
        <w:shd w:val="clear" w:color="auto" w:fill="FFFFFF"/>
        <w:rPr>
          <w:rFonts w:ascii="Open Sans" w:hAnsi="Open Sans"/>
          <w:color w:val="000000"/>
          <w:sz w:val="21"/>
          <w:szCs w:val="21"/>
        </w:rPr>
      </w:pPr>
      <w:hyperlink r:id="rId12" w:history="1">
        <w:r w:rsidR="00725BBD">
          <w:rPr>
            <w:rStyle w:val="Strong"/>
            <w:rFonts w:ascii="Open Sans" w:hAnsi="Open Sans"/>
            <w:color w:val="407F7F"/>
            <w:sz w:val="21"/>
            <w:szCs w:val="21"/>
          </w:rPr>
          <w:t>Click here to view VPRO language from Sandusky, OH</w:t>
        </w:r>
      </w:hyperlink>
    </w:p>
    <w:p w14:paraId="643AAAEF" w14:textId="77777777" w:rsidR="00725BBD" w:rsidRDefault="00803795" w:rsidP="00725BBD">
      <w:pPr>
        <w:pStyle w:val="NormalWeb"/>
        <w:shd w:val="clear" w:color="auto" w:fill="FFFFFF"/>
        <w:spacing w:after="0" w:afterAutospacing="0"/>
        <w:rPr>
          <w:rFonts w:ascii="Open Sans" w:hAnsi="Open Sans"/>
          <w:color w:val="000000"/>
          <w:sz w:val="21"/>
          <w:szCs w:val="21"/>
        </w:rPr>
      </w:pPr>
      <w:hyperlink r:id="rId13" w:history="1">
        <w:r w:rsidR="00725BBD">
          <w:rPr>
            <w:rStyle w:val="Strong"/>
            <w:rFonts w:ascii="Open Sans" w:hAnsi="Open Sans"/>
            <w:color w:val="407F7F"/>
            <w:sz w:val="21"/>
            <w:szCs w:val="21"/>
          </w:rPr>
          <w:t>Click here to view the registration form for a vacant property from Ashtabula, OH</w:t>
        </w:r>
      </w:hyperlink>
    </w:p>
    <w:p w14:paraId="39BC8E88" w14:textId="77777777" w:rsidR="00725BBD" w:rsidRDefault="00803795" w:rsidP="00725BBD">
      <w:pPr>
        <w:shd w:val="clear" w:color="auto" w:fill="FFFFFF"/>
        <w:spacing w:before="480" w:after="480"/>
        <w:rPr>
          <w:rFonts w:ascii="Open Sans" w:hAnsi="Open Sans"/>
          <w:color w:val="000000"/>
          <w:sz w:val="21"/>
          <w:szCs w:val="21"/>
        </w:rPr>
      </w:pPr>
      <w:r>
        <w:rPr>
          <w:rFonts w:ascii="Open Sans" w:hAnsi="Open Sans"/>
          <w:color w:val="000000"/>
          <w:sz w:val="21"/>
          <w:szCs w:val="21"/>
        </w:rPr>
        <w:pict w14:anchorId="7B69ECF7">
          <v:rect id="_x0000_i1025" style="width:0;height:.75pt" o:hralign="center" o:hrstd="t" o:hr="t" fillcolor="#a0a0a0" stroked="f"/>
        </w:pict>
      </w:r>
    </w:p>
    <w:p w14:paraId="11B4CCFA" w14:textId="77777777" w:rsidR="00725BBD" w:rsidRDefault="00725BBD" w:rsidP="00725BBD">
      <w:pPr>
        <w:pStyle w:val="NormalWeb"/>
        <w:shd w:val="clear" w:color="auto" w:fill="FFFFFF"/>
        <w:rPr>
          <w:rFonts w:ascii="Open Sans" w:hAnsi="Open Sans"/>
          <w:color w:val="000000"/>
          <w:sz w:val="21"/>
          <w:szCs w:val="21"/>
        </w:rPr>
      </w:pPr>
      <w:r>
        <w:rPr>
          <w:rFonts w:ascii="Open Sans" w:hAnsi="Open Sans"/>
          <w:color w:val="000000"/>
          <w:sz w:val="21"/>
          <w:szCs w:val="21"/>
        </w:rPr>
        <w:t>[1] http://www.yndc.org/news-media/press-coverage/code-enforcement-struggles-bring-out-state-owners-compliance-vindicator</w:t>
      </w:r>
    </w:p>
    <w:p w14:paraId="602856EE" w14:textId="77777777" w:rsidR="00725BBD" w:rsidRDefault="00725BBD" w:rsidP="00725BBD">
      <w:pPr>
        <w:pStyle w:val="NormalWeb"/>
        <w:shd w:val="clear" w:color="auto" w:fill="FFFFFF"/>
        <w:spacing w:after="0" w:afterAutospacing="0"/>
        <w:rPr>
          <w:rFonts w:ascii="Open Sans" w:hAnsi="Open Sans"/>
          <w:color w:val="000000"/>
          <w:sz w:val="21"/>
          <w:szCs w:val="21"/>
        </w:rPr>
      </w:pPr>
      <w:r>
        <w:rPr>
          <w:rFonts w:ascii="Open Sans" w:hAnsi="Open Sans"/>
          <w:color w:val="000000"/>
          <w:sz w:val="21"/>
          <w:szCs w:val="21"/>
        </w:rPr>
        <w:t>[2] https://www.nfpa.org/-/media/Files/News-and-Research/Fire-statistics/Occupancies/osvacantbuildings.pdf</w:t>
      </w:r>
    </w:p>
    <w:p w14:paraId="37210672" w14:textId="77777777" w:rsidR="00725BBD" w:rsidRDefault="00725BBD" w:rsidP="00725BBD">
      <w:pPr>
        <w:pStyle w:val="NormalWeb"/>
        <w:shd w:val="clear" w:color="auto" w:fill="FFFFFF"/>
        <w:rPr>
          <w:rFonts w:ascii="Open Sans" w:hAnsi="Open Sans"/>
          <w:color w:val="000000"/>
          <w:sz w:val="21"/>
          <w:szCs w:val="21"/>
        </w:rPr>
      </w:pPr>
    </w:p>
    <w:p w14:paraId="69855177" w14:textId="77777777" w:rsidR="00725BBD" w:rsidRPr="00725BBD" w:rsidRDefault="00725BBD" w:rsidP="00725BBD">
      <w:pPr>
        <w:shd w:val="clear" w:color="auto" w:fill="FFFFFF"/>
        <w:spacing w:before="120" w:after="120" w:line="240" w:lineRule="auto"/>
        <w:rPr>
          <w:rFonts w:ascii="Open Sans" w:eastAsia="Times New Roman" w:hAnsi="Open Sans" w:cs="Times New Roman"/>
          <w:color w:val="000000"/>
          <w:sz w:val="21"/>
          <w:szCs w:val="21"/>
        </w:rPr>
      </w:pPr>
    </w:p>
    <w:p w14:paraId="57EFD609" w14:textId="77777777" w:rsidR="00725BBD" w:rsidRPr="00725BBD" w:rsidRDefault="00725BBD" w:rsidP="00725BBD"/>
    <w:p w14:paraId="79ECBD6F" w14:textId="5F32B913" w:rsidR="00CC06FE" w:rsidRDefault="00725BBD">
      <w:r>
        <w:tab/>
      </w:r>
    </w:p>
    <w:sectPr w:rsidR="00CC06FE" w:rsidSect="00645C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3C829" w14:textId="77777777" w:rsidR="00803795" w:rsidRDefault="00803795" w:rsidP="00725BBD">
      <w:pPr>
        <w:spacing w:after="0" w:line="240" w:lineRule="auto"/>
      </w:pPr>
      <w:r>
        <w:separator/>
      </w:r>
    </w:p>
  </w:endnote>
  <w:endnote w:type="continuationSeparator" w:id="0">
    <w:p w14:paraId="61295C94" w14:textId="77777777" w:rsidR="00803795" w:rsidRDefault="00803795" w:rsidP="00725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swald">
    <w:altName w:val="Arial Narrow"/>
    <w:panose1 w:val="00000000000000000000"/>
    <w:charset w:val="00"/>
    <w:family w:val="roman"/>
    <w:notTrueType/>
    <w:pitch w:val="default"/>
  </w:font>
  <w:font w:name="Open Sans">
    <w:altName w:val="Segoe UI"/>
    <w:panose1 w:val="00000000000000000000"/>
    <w:charset w:val="00"/>
    <w:family w:val="roman"/>
    <w:notTrueType/>
    <w:pitch w:val="default"/>
  </w:font>
  <w:font w:name="Open Sans Condensed">
    <w:altName w:val="Segoe U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08DCC" w14:textId="77777777" w:rsidR="00803795" w:rsidRDefault="00803795" w:rsidP="00725BBD">
      <w:pPr>
        <w:spacing w:after="0" w:line="240" w:lineRule="auto"/>
      </w:pPr>
      <w:r>
        <w:separator/>
      </w:r>
    </w:p>
  </w:footnote>
  <w:footnote w:type="continuationSeparator" w:id="0">
    <w:p w14:paraId="4661BA0E" w14:textId="77777777" w:rsidR="00803795" w:rsidRDefault="00803795" w:rsidP="00725BBD">
      <w:pPr>
        <w:spacing w:after="0" w:line="240" w:lineRule="auto"/>
      </w:pPr>
      <w:r>
        <w:continuationSeparator/>
      </w:r>
    </w:p>
  </w:footnote>
  <w:footnote w:id="1">
    <w:p w14:paraId="5177DDB6" w14:textId="6FF2712D" w:rsidR="00725BBD" w:rsidRDefault="00725BBD">
      <w:pPr>
        <w:pStyle w:val="FootnoteText"/>
      </w:pPr>
      <w:r>
        <w:rPr>
          <w:rStyle w:val="FootnoteReference"/>
        </w:rPr>
        <w:footnoteRef/>
      </w:r>
      <w:r>
        <w:t xml:space="preserve"> These first two bullet points really boil down to open lines of communication. Identify who the right parties are, especially relevant for “zombie foreclosures” and</w:t>
      </w:r>
      <w:r w:rsidR="000427CD">
        <w:t xml:space="preserve"> to</w:t>
      </w:r>
      <w:r>
        <w:t xml:space="preserve"> communicate directly.</w:t>
      </w:r>
    </w:p>
    <w:p w14:paraId="4D8EF4F2" w14:textId="77777777" w:rsidR="00725BBD" w:rsidRDefault="00725BBD">
      <w:pPr>
        <w:pStyle w:val="FootnoteText"/>
      </w:pPr>
    </w:p>
  </w:footnote>
  <w:footnote w:id="2">
    <w:p w14:paraId="42D32DB9" w14:textId="69AB162A" w:rsidR="00725BBD" w:rsidRDefault="00725BBD">
      <w:pPr>
        <w:pStyle w:val="FootnoteText"/>
      </w:pPr>
      <w:r>
        <w:rPr>
          <w:rStyle w:val="FootnoteReference"/>
        </w:rPr>
        <w:footnoteRef/>
      </w:r>
      <w:r>
        <w:t xml:space="preserve"> For “zombie foreclosures” there is an entire process in the mortgage servicing industry that operates in parallel with municipal requirements and requirements. Having a thorough understanding of this process makes things easier for all parties. </w:t>
      </w:r>
    </w:p>
  </w:footnote>
  <w:footnote w:id="3">
    <w:p w14:paraId="211DAE46" w14:textId="17513CE7" w:rsidR="00725BBD" w:rsidRDefault="00725BBD">
      <w:pPr>
        <w:pStyle w:val="FootnoteText"/>
      </w:pPr>
      <w:r>
        <w:rPr>
          <w:rStyle w:val="FootnoteReference"/>
        </w:rPr>
        <w:footnoteRef/>
      </w:r>
      <w:r>
        <w:t xml:space="preserve"> Accurate description, </w:t>
      </w:r>
      <w:proofErr w:type="gramStart"/>
      <w:r>
        <w:t>however</w:t>
      </w:r>
      <w:proofErr w:type="gramEnd"/>
      <w:r>
        <w:t xml:space="preserve"> a lot </w:t>
      </w:r>
      <w:r w:rsidR="008B2A86">
        <w:t xml:space="preserve">may be dependent on the housing make-up in the community. Outsourcing the administration to entities like MuniReg, allows for revenue to be utilized for additional staffing or property maintenance in a case of non-compliance. Any additional staffing could be utilized for more critical matters. Outsourcer is incentivized to increase compliance as the more registrations the greater the revenue. An outsourcer with expertise in zombie foreclosures, urban blight and various solutions brings additional value-add to any partnership.  </w:t>
      </w:r>
      <w:r>
        <w:t xml:space="preserve"> </w:t>
      </w:r>
    </w:p>
  </w:footnote>
  <w:footnote w:id="4">
    <w:p w14:paraId="110413B9" w14:textId="231F526F" w:rsidR="008B2A86" w:rsidRDefault="008B2A86">
      <w:pPr>
        <w:pStyle w:val="FootnoteText"/>
      </w:pPr>
      <w:r>
        <w:rPr>
          <w:rStyle w:val="FootnoteReference"/>
        </w:rPr>
        <w:footnoteRef/>
      </w:r>
      <w:r>
        <w:t xml:space="preserve"> Critical that the information is shared with first responders but there are other internal uses for information provided in registration forms that many communities that have a program are not utilizing. Regarding the “Red X” discretion should be utilized as one would not want to “advertise vacancy” to the criminal element. A strong VPRO, shared internally as needed along with judicious usage of signage will deliver positive results.</w:t>
      </w:r>
    </w:p>
  </w:footnote>
  <w:footnote w:id="5">
    <w:p w14:paraId="273CCD83" w14:textId="3A2E47B9" w:rsidR="00355307" w:rsidRDefault="00355307">
      <w:pPr>
        <w:pStyle w:val="FootnoteText"/>
      </w:pPr>
      <w:r>
        <w:rPr>
          <w:rStyle w:val="FootnoteReference"/>
        </w:rPr>
        <w:footnoteRef/>
      </w:r>
      <w:r>
        <w:t xml:space="preserve"> This touches on an oft mentioned concern. Should a responsible property owner</w:t>
      </w:r>
      <w:r w:rsidR="001A45E5">
        <w:t xml:space="preserve">, especially a resident of the community, </w:t>
      </w:r>
      <w:proofErr w:type="gramStart"/>
      <w:r>
        <w:t>have to</w:t>
      </w:r>
      <w:proofErr w:type="gramEnd"/>
      <w:r>
        <w:t xml:space="preserve"> pay for bad actors? It has been my experience the best approach is to have a uniform fee requirement; </w:t>
      </w:r>
      <w:r w:rsidR="00CF5B00">
        <w:t>however,</w:t>
      </w:r>
      <w:r>
        <w:t xml:space="preserve"> the ordinance language should include exemptions for </w:t>
      </w:r>
      <w:r w:rsidRPr="00355307">
        <w:t>“</w:t>
      </w:r>
      <w:r w:rsidRPr="00355307">
        <w:rPr>
          <w:color w:val="000000"/>
        </w:rPr>
        <w:t>Owners who keep their properties in a state of good repair and make good-faith efforts to find occupants for their properties</w:t>
      </w:r>
      <w:r>
        <w:rPr>
          <w:color w:val="000000"/>
        </w:rPr>
        <w:t>” (language above) and engage the appropriate municipal dep</w:t>
      </w:r>
      <w:r w:rsidR="001A45E5">
        <w:rPr>
          <w:color w:val="000000"/>
        </w:rPr>
        <w:t>artment</w:t>
      </w:r>
      <w:r>
        <w:rPr>
          <w:color w:val="000000"/>
        </w:rPr>
        <w:t xml:space="preserve"> in open, </w:t>
      </w:r>
      <w:r w:rsidR="001A45E5">
        <w:rPr>
          <w:color w:val="000000"/>
        </w:rPr>
        <w:t>timely,</w:t>
      </w:r>
      <w:r>
        <w:rPr>
          <w:color w:val="000000"/>
        </w:rPr>
        <w:t xml:space="preserve"> </w:t>
      </w:r>
      <w:r w:rsidR="001A45E5">
        <w:rPr>
          <w:color w:val="000000"/>
        </w:rPr>
        <w:t xml:space="preserve">and </w:t>
      </w:r>
      <w:r>
        <w:rPr>
          <w:color w:val="000000"/>
        </w:rPr>
        <w:t xml:space="preserve">truthful dialogue regarding the property.  </w:t>
      </w:r>
    </w:p>
  </w:footnote>
  <w:footnote w:id="6">
    <w:p w14:paraId="44A4ADEF" w14:textId="454D83E0" w:rsidR="00355307" w:rsidRDefault="00355307">
      <w:pPr>
        <w:pStyle w:val="FootnoteText"/>
      </w:pPr>
      <w:r>
        <w:rPr>
          <w:rStyle w:val="FootnoteReference"/>
        </w:rPr>
        <w:footnoteRef/>
      </w:r>
      <w:r>
        <w:t xml:space="preserve"> Whether outsourced or not, there is a cost to administering a registry.</w:t>
      </w:r>
    </w:p>
  </w:footnote>
  <w:footnote w:id="7">
    <w:p w14:paraId="3D2DA342" w14:textId="033ACBDF" w:rsidR="00355307" w:rsidRPr="00D1055D" w:rsidRDefault="00355307">
      <w:pPr>
        <w:pStyle w:val="FootnoteText"/>
      </w:pPr>
      <w:r>
        <w:rPr>
          <w:rStyle w:val="FootnoteReference"/>
        </w:rPr>
        <w:footnoteRef/>
      </w:r>
      <w:r>
        <w:t xml:space="preserve"> When utilized correctly, a VPRO can benefit both the municipality and property owners. For municipalities it assists in their </w:t>
      </w:r>
      <w:r w:rsidRPr="00D1055D">
        <w:t xml:space="preserve">analysis of their housing stock which can help in reclamation projects, grant requests etc. For a property owner it allows for direct </w:t>
      </w:r>
      <w:r w:rsidR="001A45E5">
        <w:t xml:space="preserve">and timely </w:t>
      </w:r>
      <w:r w:rsidRPr="00D1055D">
        <w:t xml:space="preserve">communication if an issue arises i.e. vandalism, fire, tree falling etc. For some municipalities there could be the option of </w:t>
      </w:r>
      <w:r w:rsidR="00762FBE" w:rsidRPr="00D1055D">
        <w:t>including in police patrols</w:t>
      </w:r>
      <w:r w:rsidR="001A45E5">
        <w:t xml:space="preserve"> as a proactive preventative measure.</w:t>
      </w:r>
    </w:p>
  </w:footnote>
  <w:footnote w:id="8">
    <w:p w14:paraId="55788801" w14:textId="11CB0C14" w:rsidR="00D1055D" w:rsidRDefault="00D1055D">
      <w:pPr>
        <w:pStyle w:val="FootnoteText"/>
      </w:pPr>
      <w:r w:rsidRPr="00D1055D">
        <w:rPr>
          <w:rStyle w:val="FootnoteReference"/>
        </w:rPr>
        <w:footnoteRef/>
      </w:r>
      <w:r w:rsidRPr="00D1055D">
        <w:t xml:space="preserve"> VPRO’s have existed for a significant amount of time and there has been </w:t>
      </w:r>
      <w:r w:rsidR="000427CD">
        <w:t>n</w:t>
      </w:r>
      <w:r w:rsidRPr="00D1055D">
        <w:t>o correlation to a decrease in lending or investment in that area. Regarding the statement “</w:t>
      </w:r>
      <w:r w:rsidRPr="00D1055D">
        <w:rPr>
          <w:color w:val="000000"/>
        </w:rPr>
        <w:t>A VPRO shifts the costs of vacant properties away from neighborhoods and local governments and onto the appropriate private parties</w:t>
      </w:r>
      <w:r w:rsidRPr="00D1055D">
        <w:t xml:space="preserve">” a VPRO will identify a responsible party, who can be informed of the requirements and penalties etc. but they still </w:t>
      </w:r>
      <w:proofErr w:type="gramStart"/>
      <w:r w:rsidRPr="00D1055D">
        <w:t>have to</w:t>
      </w:r>
      <w:proofErr w:type="gramEnd"/>
      <w:r w:rsidRPr="00D1055D">
        <w:t xml:space="preserve"> agree to take maintenance actions. The direct lines of communication will significantly increase these actions but </w:t>
      </w:r>
      <w:r w:rsidR="001A45E5" w:rsidRPr="00D1055D">
        <w:t>cannot</w:t>
      </w:r>
      <w:r w:rsidRPr="00D1055D">
        <w:t xml:space="preserve"> guarantee</w:t>
      </w:r>
      <w:r w:rsidR="001A45E5">
        <w:t xml:space="preserve"> as there may be legitimate reasons why action cannot be taken</w:t>
      </w:r>
      <w:r w:rsidRPr="00D1055D">
        <w:t>. The direct lines of communication will significantly increase transparency which in the case of inaction by the property owner will open additional options for the municipality</w:t>
      </w:r>
      <w:r w:rsidR="00CF5B00">
        <w:t>.</w:t>
      </w:r>
    </w:p>
  </w:footnote>
  <w:footnote w:id="9">
    <w:p w14:paraId="6883B7AD" w14:textId="7D879D41" w:rsidR="00D1055D" w:rsidRDefault="00D1055D">
      <w:pPr>
        <w:pStyle w:val="FootnoteText"/>
      </w:pPr>
      <w:r>
        <w:rPr>
          <w:rStyle w:val="FootnoteReference"/>
        </w:rPr>
        <w:footnoteRef/>
      </w:r>
      <w:r>
        <w:t xml:space="preserve"> This touches on the necessity to have strong exemptions to exempt the good actors.</w:t>
      </w:r>
    </w:p>
  </w:footnote>
  <w:footnote w:id="10">
    <w:p w14:paraId="2D816E27" w14:textId="4EB2C6B7" w:rsidR="002D776E" w:rsidRDefault="002D776E">
      <w:pPr>
        <w:pStyle w:val="FootnoteText"/>
      </w:pPr>
      <w:r>
        <w:rPr>
          <w:rStyle w:val="FootnoteReference"/>
        </w:rPr>
        <w:footnoteRef/>
      </w:r>
      <w:r>
        <w:t xml:space="preserve"> Many communities are adding fines to the tax roll. Usually the fines for non-compliance with the maintenance </w:t>
      </w:r>
      <w:r w:rsidR="001A45E5">
        <w:t>requirements</w:t>
      </w:r>
      <w:r>
        <w:t xml:space="preserve">. </w:t>
      </w:r>
      <w:r>
        <w:t xml:space="preserve">Traditional liens often take significant time to be </w:t>
      </w:r>
      <w:r w:rsidR="008F3577">
        <w:t>recouped</w:t>
      </w:r>
      <w:r w:rsidR="000427CD">
        <w:t xml:space="preserve"> or may be</w:t>
      </w:r>
      <w:r w:rsidR="008F3577">
        <w:t xml:space="preserve"> extinguished at sheriff/foreclosure sales</w:t>
      </w:r>
      <w:r w:rsidR="000427CD">
        <w:t xml:space="preserve"> </w:t>
      </w:r>
      <w:r w:rsidR="000427CD">
        <w:t>-</w:t>
      </w:r>
      <w:bookmarkStart w:id="0" w:name="_GoBack"/>
      <w:bookmarkEnd w:id="0"/>
      <w:r w:rsidR="008F3577">
        <w:t xml:space="preserve"> and the municipality recoups nothing.</w:t>
      </w:r>
    </w:p>
  </w:footnote>
  <w:footnote w:id="11">
    <w:p w14:paraId="19492875" w14:textId="158B149B" w:rsidR="008F3577" w:rsidRDefault="008F3577">
      <w:pPr>
        <w:pStyle w:val="FootnoteText"/>
      </w:pPr>
      <w:r>
        <w:rPr>
          <w:rStyle w:val="FootnoteReference"/>
        </w:rPr>
        <w:footnoteRef/>
      </w:r>
      <w:r>
        <w:t xml:space="preserve"> Vacancy/abandonment causes blight not foreclosure. A hybrid model is the best option; earlier of </w:t>
      </w:r>
      <w:r w:rsidR="001A45E5">
        <w:t xml:space="preserve">1) </w:t>
      </w:r>
      <w:r>
        <w:t xml:space="preserve">vacancy/abandonment </w:t>
      </w:r>
      <w:r w:rsidR="001A45E5">
        <w:t>and 2)</w:t>
      </w:r>
      <w:r>
        <w:t xml:space="preserve"> filing of notice of default/</w:t>
      </w:r>
      <w:proofErr w:type="spellStart"/>
      <w:r>
        <w:t>lis</w:t>
      </w:r>
      <w:proofErr w:type="spellEnd"/>
      <w:r>
        <w:t xml:space="preserve"> pendens. With the requirement to update the latter if vacancy is determined </w:t>
      </w:r>
      <w:proofErr w:type="gramStart"/>
      <w:r>
        <w:t>at a later date</w:t>
      </w:r>
      <w:proofErr w:type="gramEnd"/>
      <w:r>
        <w:t xml:space="preserve">. </w:t>
      </w:r>
    </w:p>
  </w:footnote>
  <w:footnote w:id="12">
    <w:p w14:paraId="65DDFD5D" w14:textId="1443D9CD" w:rsidR="008F3577" w:rsidRDefault="008F3577">
      <w:pPr>
        <w:pStyle w:val="FootnoteText"/>
      </w:pPr>
      <w:r>
        <w:rPr>
          <w:rStyle w:val="FootnoteReference"/>
        </w:rPr>
        <w:footnoteRef/>
      </w:r>
      <w:r>
        <w:t xml:space="preserve"> Fees range greatly from no fee to several hundred or St Paul MN $2,000 + or Minneapolis MN $7,000+. </w:t>
      </w:r>
      <w:proofErr w:type="gramStart"/>
      <w:r>
        <w:t>Several  communities</w:t>
      </w:r>
      <w:proofErr w:type="gramEnd"/>
      <w:r>
        <w:t xml:space="preserve"> have a foreclosure bond requirement, usually $10,000 for residential more for commercial. The funds are kept in escrow and are utilized by the municipality if needed to take maintenance actions through the course of the registration. All unused funds are returned at “de-registration” typically </w:t>
      </w:r>
      <w:r w:rsidR="00AC57E0">
        <w:t>minus an administrative fee. Not enough municipalities have enacted this legislation to know if it has any detrimental consequences i.e. discouraging lending or investment</w:t>
      </w:r>
      <w:r w:rsidR="001A45E5">
        <w:t>, or the oversight/administration burden outweighs any benefit.</w:t>
      </w:r>
      <w:r>
        <w:t xml:space="preserve"> </w:t>
      </w:r>
    </w:p>
  </w:footnote>
  <w:footnote w:id="13">
    <w:p w14:paraId="1367FDA3" w14:textId="0D701564" w:rsidR="00AC57E0" w:rsidRDefault="00AC57E0">
      <w:pPr>
        <w:pStyle w:val="FootnoteText"/>
      </w:pPr>
      <w:r>
        <w:rPr>
          <w:rStyle w:val="FootnoteReference"/>
        </w:rPr>
        <w:footnoteRef/>
      </w:r>
      <w:r>
        <w:t xml:space="preserve"> See footnote 11 above. There shouldn’t be two registrations. Only an “earlier of” requirement along with requirement to update as needed.</w:t>
      </w:r>
    </w:p>
  </w:footnote>
  <w:footnote w:id="14">
    <w:p w14:paraId="56D2EEDF" w14:textId="67361061" w:rsidR="00AC57E0" w:rsidRDefault="00AC57E0">
      <w:pPr>
        <w:pStyle w:val="FootnoteText"/>
      </w:pPr>
      <w:r>
        <w:rPr>
          <w:rStyle w:val="FootnoteReference"/>
        </w:rPr>
        <w:footnoteRef/>
      </w:r>
      <w:r>
        <w:t xml:space="preserve"> This is a traditional “carrot or stick” issue Some communities have an escalating fee schedule based off length of vacancy to incent property owners to expeditiously return the property to productive use. For zombie foreclosures the incentive is minimal as </w:t>
      </w:r>
      <w:r w:rsidR="001A45E5">
        <w:t>often</w:t>
      </w:r>
      <w:r>
        <w:t xml:space="preserve"> they are required to follow federal regulations that can impact length of vacancy. For property owners it could be an incentive however as the property is an asset</w:t>
      </w:r>
      <w:r w:rsidR="001A45E5">
        <w:t>,</w:t>
      </w:r>
      <w:r>
        <w:t xml:space="preserve"> it is fair to assume that the property owner desires to have the property return a benefit either as a home or an investment. For communities that have owners “waiting till the market improves” it could be beneficial. </w:t>
      </w:r>
      <w:r w:rsidR="00CF5B00">
        <w:t>However,</w:t>
      </w:r>
      <w:r>
        <w:t xml:space="preserve"> a plan must be in place should the property owner “walk away”</w:t>
      </w:r>
      <w:r w:rsidR="001A45E5">
        <w:t xml:space="preserve"> as a result of the fines</w:t>
      </w:r>
      <w:r w:rsidR="00CF5B00">
        <w:t>.</w:t>
      </w:r>
    </w:p>
  </w:footnote>
  <w:footnote w:id="15">
    <w:p w14:paraId="0B3F37C6" w14:textId="54E0AD00" w:rsidR="00AC57E0" w:rsidRDefault="00AC57E0">
      <w:pPr>
        <w:pStyle w:val="FootnoteText"/>
      </w:pPr>
      <w:r>
        <w:rPr>
          <w:rStyle w:val="FootnoteReference"/>
        </w:rPr>
        <w:footnoteRef/>
      </w:r>
      <w:r>
        <w:t xml:space="preserve"> Strong exemption language can address this concern</w:t>
      </w:r>
      <w:r w:rsidR="00CF5B00">
        <w:t>.</w:t>
      </w:r>
    </w:p>
  </w:footnote>
  <w:footnote w:id="16">
    <w:p w14:paraId="34F7753B" w14:textId="402BC8D2" w:rsidR="00AC57E0" w:rsidRDefault="00AC57E0">
      <w:pPr>
        <w:pStyle w:val="FootnoteText"/>
      </w:pPr>
      <w:r>
        <w:rPr>
          <w:rStyle w:val="FootnoteReference"/>
        </w:rPr>
        <w:footnoteRef/>
      </w:r>
      <w:r>
        <w:t xml:space="preserve"> Definition of “owner” specifically</w:t>
      </w:r>
      <w:r w:rsidR="00CF5B00">
        <w:t>.</w:t>
      </w:r>
      <w:r>
        <w:t xml:space="preserve"> </w:t>
      </w:r>
    </w:p>
  </w:footnote>
  <w:footnote w:id="17">
    <w:p w14:paraId="42D702F0" w14:textId="6CEFA221" w:rsidR="00AC57E0" w:rsidRDefault="00AC57E0">
      <w:pPr>
        <w:pStyle w:val="FootnoteText"/>
      </w:pPr>
      <w:r>
        <w:rPr>
          <w:rStyle w:val="FootnoteReference"/>
        </w:rPr>
        <w:footnoteRef/>
      </w:r>
      <w:r>
        <w:t xml:space="preserve"> Including “when” registration is required.</w:t>
      </w:r>
    </w:p>
  </w:footnote>
  <w:footnote w:id="18">
    <w:p w14:paraId="137D6908" w14:textId="4E8196A4" w:rsidR="00AC57E0" w:rsidRDefault="00AC57E0">
      <w:pPr>
        <w:pStyle w:val="FootnoteText"/>
      </w:pPr>
      <w:r>
        <w:rPr>
          <w:rStyle w:val="FootnoteReference"/>
        </w:rPr>
        <w:footnoteRef/>
      </w:r>
      <w:r>
        <w:t xml:space="preserve"> Clear language </w:t>
      </w:r>
      <w:r w:rsidR="000116F8">
        <w:t xml:space="preserve">and only relevant language. Here too knowledge of the mortgage servicing industry is valuable. </w:t>
      </w:r>
      <w:r w:rsidR="00800897">
        <w:t>For example, m</w:t>
      </w:r>
      <w:r w:rsidR="000116F8">
        <w:t xml:space="preserve">any ordinances require a “local” property maintenance contact. That works for a traditional property owner however for a bank or mortgage company its worthless and an unnecessary delay.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17595"/>
    <w:multiLevelType w:val="multilevel"/>
    <w:tmpl w:val="41B6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930468"/>
    <w:multiLevelType w:val="multilevel"/>
    <w:tmpl w:val="53E62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BBD"/>
    <w:rsid w:val="000116F8"/>
    <w:rsid w:val="000427CD"/>
    <w:rsid w:val="0013469A"/>
    <w:rsid w:val="001A45E5"/>
    <w:rsid w:val="002D776E"/>
    <w:rsid w:val="00355307"/>
    <w:rsid w:val="00645CED"/>
    <w:rsid w:val="007041FB"/>
    <w:rsid w:val="00725BBD"/>
    <w:rsid w:val="00762FBE"/>
    <w:rsid w:val="00800897"/>
    <w:rsid w:val="00803795"/>
    <w:rsid w:val="00820541"/>
    <w:rsid w:val="008B2A86"/>
    <w:rsid w:val="008F3577"/>
    <w:rsid w:val="00AC57E0"/>
    <w:rsid w:val="00BA5B8B"/>
    <w:rsid w:val="00CC06FE"/>
    <w:rsid w:val="00CF5B00"/>
    <w:rsid w:val="00D105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FF6FB"/>
  <w15:chartTrackingRefBased/>
  <w15:docId w15:val="{33653166-892B-498E-A04E-BE9302865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25B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25B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25B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BB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25BBD"/>
    <w:rPr>
      <w:color w:val="0000FF"/>
      <w:u w:val="single"/>
    </w:rPr>
  </w:style>
  <w:style w:type="character" w:customStyle="1" w:styleId="Heading2Char">
    <w:name w:val="Heading 2 Char"/>
    <w:basedOn w:val="DefaultParagraphFont"/>
    <w:link w:val="Heading2"/>
    <w:uiPriority w:val="9"/>
    <w:semiHidden/>
    <w:rsid w:val="00725BBD"/>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725BB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25BBD"/>
    <w:rPr>
      <w:i/>
      <w:iCs/>
    </w:rPr>
  </w:style>
  <w:style w:type="paragraph" w:styleId="FootnoteText">
    <w:name w:val="footnote text"/>
    <w:basedOn w:val="Normal"/>
    <w:link w:val="FootnoteTextChar"/>
    <w:uiPriority w:val="99"/>
    <w:semiHidden/>
    <w:unhideWhenUsed/>
    <w:rsid w:val="00725B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5BBD"/>
    <w:rPr>
      <w:sz w:val="20"/>
      <w:szCs w:val="20"/>
    </w:rPr>
  </w:style>
  <w:style w:type="character" w:styleId="FootnoteReference">
    <w:name w:val="footnote reference"/>
    <w:basedOn w:val="DefaultParagraphFont"/>
    <w:uiPriority w:val="99"/>
    <w:semiHidden/>
    <w:unhideWhenUsed/>
    <w:rsid w:val="00725BBD"/>
    <w:rPr>
      <w:vertAlign w:val="superscript"/>
    </w:rPr>
  </w:style>
  <w:style w:type="character" w:customStyle="1" w:styleId="Heading3Char">
    <w:name w:val="Heading 3 Char"/>
    <w:basedOn w:val="DefaultParagraphFont"/>
    <w:link w:val="Heading3"/>
    <w:uiPriority w:val="9"/>
    <w:semiHidden/>
    <w:rsid w:val="00725BBD"/>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725B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71921">
      <w:bodyDiv w:val="1"/>
      <w:marLeft w:val="0"/>
      <w:marRight w:val="0"/>
      <w:marTop w:val="0"/>
      <w:marBottom w:val="0"/>
      <w:divBdr>
        <w:top w:val="none" w:sz="0" w:space="0" w:color="auto"/>
        <w:left w:val="none" w:sz="0" w:space="0" w:color="auto"/>
        <w:bottom w:val="none" w:sz="0" w:space="0" w:color="auto"/>
        <w:right w:val="none" w:sz="0" w:space="0" w:color="auto"/>
      </w:divBdr>
      <w:divsChild>
        <w:div w:id="39478696">
          <w:marLeft w:val="0"/>
          <w:marRight w:val="0"/>
          <w:marTop w:val="0"/>
          <w:marBottom w:val="0"/>
          <w:divBdr>
            <w:top w:val="none" w:sz="0" w:space="0" w:color="auto"/>
            <w:left w:val="none" w:sz="0" w:space="0" w:color="auto"/>
            <w:bottom w:val="none" w:sz="0" w:space="0" w:color="auto"/>
            <w:right w:val="none" w:sz="0" w:space="0" w:color="auto"/>
          </w:divBdr>
          <w:divsChild>
            <w:div w:id="1821338174">
              <w:marLeft w:val="0"/>
              <w:marRight w:val="0"/>
              <w:marTop w:val="0"/>
              <w:marBottom w:val="0"/>
              <w:divBdr>
                <w:top w:val="none" w:sz="0" w:space="0" w:color="auto"/>
                <w:left w:val="none" w:sz="0" w:space="0" w:color="auto"/>
                <w:bottom w:val="none" w:sz="0" w:space="0" w:color="auto"/>
                <w:right w:val="none" w:sz="0" w:space="0" w:color="auto"/>
              </w:divBdr>
              <w:divsChild>
                <w:div w:id="815335457">
                  <w:marLeft w:val="-255"/>
                  <w:marRight w:val="-255"/>
                  <w:marTop w:val="0"/>
                  <w:marBottom w:val="0"/>
                  <w:divBdr>
                    <w:top w:val="none" w:sz="0" w:space="0" w:color="auto"/>
                    <w:left w:val="none" w:sz="0" w:space="0" w:color="auto"/>
                    <w:bottom w:val="none" w:sz="0" w:space="0" w:color="auto"/>
                    <w:right w:val="none" w:sz="0" w:space="0" w:color="auto"/>
                  </w:divBdr>
                  <w:divsChild>
                    <w:div w:id="1017000981">
                      <w:marLeft w:val="0"/>
                      <w:marRight w:val="0"/>
                      <w:marTop w:val="0"/>
                      <w:marBottom w:val="0"/>
                      <w:divBdr>
                        <w:top w:val="none" w:sz="0" w:space="0" w:color="auto"/>
                        <w:left w:val="none" w:sz="0" w:space="0" w:color="auto"/>
                        <w:bottom w:val="none" w:sz="0" w:space="0" w:color="auto"/>
                        <w:right w:val="none" w:sz="0" w:space="0" w:color="auto"/>
                      </w:divBdr>
                      <w:divsChild>
                        <w:div w:id="399911701">
                          <w:marLeft w:val="0"/>
                          <w:marRight w:val="0"/>
                          <w:marTop w:val="0"/>
                          <w:marBottom w:val="0"/>
                          <w:divBdr>
                            <w:top w:val="none" w:sz="0" w:space="0" w:color="auto"/>
                            <w:left w:val="none" w:sz="0" w:space="0" w:color="auto"/>
                            <w:bottom w:val="none" w:sz="0" w:space="0" w:color="auto"/>
                            <w:right w:val="none" w:sz="0" w:space="0" w:color="auto"/>
                          </w:divBdr>
                          <w:divsChild>
                            <w:div w:id="279725488">
                              <w:marLeft w:val="0"/>
                              <w:marRight w:val="0"/>
                              <w:marTop w:val="0"/>
                              <w:marBottom w:val="0"/>
                              <w:divBdr>
                                <w:top w:val="none" w:sz="0" w:space="0" w:color="auto"/>
                                <w:left w:val="none" w:sz="0" w:space="0" w:color="auto"/>
                                <w:bottom w:val="none" w:sz="0" w:space="0" w:color="auto"/>
                                <w:right w:val="none" w:sz="0" w:space="0" w:color="auto"/>
                              </w:divBdr>
                            </w:div>
                          </w:divsChild>
                        </w:div>
                        <w:div w:id="2005473213">
                          <w:marLeft w:val="0"/>
                          <w:marRight w:val="0"/>
                          <w:marTop w:val="0"/>
                          <w:marBottom w:val="0"/>
                          <w:divBdr>
                            <w:top w:val="none" w:sz="0" w:space="0" w:color="auto"/>
                            <w:left w:val="none" w:sz="0" w:space="0" w:color="auto"/>
                            <w:bottom w:val="none" w:sz="0" w:space="0" w:color="auto"/>
                            <w:right w:val="none" w:sz="0" w:space="0" w:color="auto"/>
                          </w:divBdr>
                          <w:divsChild>
                            <w:div w:id="1577127823">
                              <w:marLeft w:val="0"/>
                              <w:marRight w:val="0"/>
                              <w:marTop w:val="0"/>
                              <w:marBottom w:val="0"/>
                              <w:divBdr>
                                <w:top w:val="none" w:sz="0" w:space="0" w:color="auto"/>
                                <w:left w:val="none" w:sz="0" w:space="0" w:color="auto"/>
                                <w:bottom w:val="none" w:sz="0" w:space="0" w:color="auto"/>
                                <w:right w:val="none" w:sz="0" w:space="0" w:color="auto"/>
                              </w:divBdr>
                            </w:div>
                          </w:divsChild>
                        </w:div>
                        <w:div w:id="13313218">
                          <w:marLeft w:val="0"/>
                          <w:marRight w:val="0"/>
                          <w:marTop w:val="0"/>
                          <w:marBottom w:val="0"/>
                          <w:divBdr>
                            <w:top w:val="none" w:sz="0" w:space="0" w:color="auto"/>
                            <w:left w:val="none" w:sz="0" w:space="0" w:color="auto"/>
                            <w:bottom w:val="none" w:sz="0" w:space="0" w:color="auto"/>
                            <w:right w:val="none" w:sz="0" w:space="0" w:color="auto"/>
                          </w:divBdr>
                          <w:divsChild>
                            <w:div w:id="701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389611">
      <w:bodyDiv w:val="1"/>
      <w:marLeft w:val="0"/>
      <w:marRight w:val="0"/>
      <w:marTop w:val="0"/>
      <w:marBottom w:val="0"/>
      <w:divBdr>
        <w:top w:val="none" w:sz="0" w:space="0" w:color="auto"/>
        <w:left w:val="none" w:sz="0" w:space="0" w:color="auto"/>
        <w:bottom w:val="none" w:sz="0" w:space="0" w:color="auto"/>
        <w:right w:val="none" w:sz="0" w:space="0" w:color="auto"/>
      </w:divBdr>
    </w:div>
    <w:div w:id="1223247809">
      <w:bodyDiv w:val="1"/>
      <w:marLeft w:val="0"/>
      <w:marRight w:val="0"/>
      <w:marTop w:val="0"/>
      <w:marBottom w:val="0"/>
      <w:divBdr>
        <w:top w:val="none" w:sz="0" w:space="0" w:color="auto"/>
        <w:left w:val="none" w:sz="0" w:space="0" w:color="auto"/>
        <w:bottom w:val="none" w:sz="0" w:space="0" w:color="auto"/>
        <w:right w:val="none" w:sz="0" w:space="0" w:color="auto"/>
      </w:divBdr>
    </w:div>
    <w:div w:id="1405955946">
      <w:bodyDiv w:val="1"/>
      <w:marLeft w:val="0"/>
      <w:marRight w:val="0"/>
      <w:marTop w:val="0"/>
      <w:marBottom w:val="0"/>
      <w:divBdr>
        <w:top w:val="none" w:sz="0" w:space="0" w:color="auto"/>
        <w:left w:val="none" w:sz="0" w:space="0" w:color="auto"/>
        <w:bottom w:val="none" w:sz="0" w:space="0" w:color="auto"/>
        <w:right w:val="none" w:sz="0" w:space="0" w:color="auto"/>
      </w:divBdr>
    </w:div>
    <w:div w:id="142842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unityprogress.net/tool-1--vacant-property-registration-ordinances--pages-257.php" TargetMode="External"/><Relationship Id="rId13" Type="http://schemas.openxmlformats.org/officeDocument/2006/relationships/hyperlink" Target="http://cityofashtabula.com/wp-content/uploads/2017/11/VACANT-BUILDING-LETTER.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cs360.com/codecompliance/v1226/sandusky-ohio-sandusky-vacant--foreclosed-property-registration-ordinance.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levelandheights.com/198/Vacant-Building-Registr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ainesville.com/?SEC=D8B7BA2D-DA45-4AD4-B908-3019E45FA9FC" TargetMode="External"/><Relationship Id="rId4" Type="http://schemas.openxmlformats.org/officeDocument/2006/relationships/settings" Target="settings.xml"/><Relationship Id="rId9" Type="http://schemas.openxmlformats.org/officeDocument/2006/relationships/hyperlink" Target="http://cityofashtabula.com/wp-content/uploads/2013/05/vacant-building-enforcement-Ordinanc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66EB1-6CD8-4C07-BE7C-900C64FDD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Halpern</dc:creator>
  <cp:keywords/>
  <dc:description/>
  <cp:lastModifiedBy>Michael Halpern</cp:lastModifiedBy>
  <cp:revision>2</cp:revision>
  <dcterms:created xsi:type="dcterms:W3CDTF">2019-03-22T15:27:00Z</dcterms:created>
  <dcterms:modified xsi:type="dcterms:W3CDTF">2019-03-22T15:27:00Z</dcterms:modified>
</cp:coreProperties>
</file>